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8FC1" w14:textId="2DD57807" w:rsidR="00E72A44" w:rsidRDefault="00E72A44" w:rsidP="001F114D">
      <w:pPr>
        <w:tabs>
          <w:tab w:val="left" w:pos="2568"/>
        </w:tabs>
        <w:jc w:val="right"/>
        <w:rPr>
          <w:b/>
          <w:bCs/>
          <w:sz w:val="24"/>
          <w:szCs w:val="24"/>
        </w:rPr>
      </w:pPr>
      <w:r>
        <w:rPr>
          <w:b/>
          <w:bCs/>
          <w:sz w:val="24"/>
          <w:szCs w:val="24"/>
        </w:rPr>
        <w:t>March 2023</w:t>
      </w:r>
    </w:p>
    <w:p w14:paraId="43DB7908" w14:textId="3E750591" w:rsidR="00864DB1" w:rsidRPr="00864DB1" w:rsidRDefault="00864DB1" w:rsidP="00864DB1">
      <w:pPr>
        <w:tabs>
          <w:tab w:val="left" w:pos="2568"/>
        </w:tabs>
        <w:rPr>
          <w:b/>
          <w:bCs/>
          <w:sz w:val="28"/>
          <w:szCs w:val="28"/>
        </w:rPr>
      </w:pPr>
      <w:r w:rsidRPr="00864DB1">
        <w:rPr>
          <w:b/>
          <w:bCs/>
          <w:sz w:val="28"/>
          <w:szCs w:val="28"/>
        </w:rPr>
        <w:t xml:space="preserve">Powering Up Britain </w:t>
      </w:r>
      <w:r w:rsidR="00C75078">
        <w:rPr>
          <w:b/>
          <w:bCs/>
          <w:sz w:val="28"/>
          <w:szCs w:val="28"/>
        </w:rPr>
        <w:t>–</w:t>
      </w:r>
      <w:r w:rsidRPr="00864DB1">
        <w:rPr>
          <w:b/>
          <w:bCs/>
          <w:sz w:val="28"/>
          <w:szCs w:val="28"/>
        </w:rPr>
        <w:t xml:space="preserve"> Department for Energy and Net Zero</w:t>
      </w:r>
    </w:p>
    <w:p w14:paraId="14061F7E" w14:textId="55BF03D8" w:rsidR="00864DB1" w:rsidRDefault="00864DB1" w:rsidP="00864DB1">
      <w:pPr>
        <w:tabs>
          <w:tab w:val="left" w:pos="2568"/>
        </w:tabs>
        <w:rPr>
          <w:b/>
          <w:bCs/>
          <w:sz w:val="28"/>
          <w:szCs w:val="28"/>
        </w:rPr>
      </w:pPr>
      <w:r w:rsidRPr="00864DB1">
        <w:rPr>
          <w:b/>
          <w:bCs/>
          <w:sz w:val="28"/>
          <w:szCs w:val="28"/>
        </w:rPr>
        <w:t>Nuclear Skills Strategy Group Summary</w:t>
      </w:r>
    </w:p>
    <w:p w14:paraId="2ED7BAE9" w14:textId="1CFBEB4F" w:rsidR="002E18BE" w:rsidRPr="00864DB1" w:rsidRDefault="00864DB1" w:rsidP="00864DB1">
      <w:pPr>
        <w:pStyle w:val="Heading1"/>
      </w:pPr>
      <w:r w:rsidRPr="00864DB1">
        <w:t>Overview</w:t>
      </w:r>
    </w:p>
    <w:p w14:paraId="71A918DF" w14:textId="12BA20B5" w:rsidR="00864DB1" w:rsidRDefault="00864DB1" w:rsidP="00864DB1">
      <w:r>
        <w:t>“Powering Up Britain”</w:t>
      </w:r>
      <w:r>
        <w:rPr>
          <w:rStyle w:val="FootnoteReference"/>
        </w:rPr>
        <w:footnoteReference w:id="1"/>
      </w:r>
      <w:r>
        <w:t xml:space="preserve"> was published by UK Government on 30</w:t>
      </w:r>
      <w:r w:rsidRPr="00117CFB">
        <w:rPr>
          <w:vertAlign w:val="superscript"/>
        </w:rPr>
        <w:t>th</w:t>
      </w:r>
      <w:r>
        <w:t xml:space="preserve"> March 2023, setting out plans to </w:t>
      </w:r>
      <w:r w:rsidRPr="00DC4507">
        <w:rPr>
          <w:i/>
          <w:iCs/>
        </w:rPr>
        <w:t>“enhance our country’s energy security, seize the economic opportunities of the transition, and deliver on our net zero commitments”.</w:t>
      </w:r>
      <w:r w:rsidRPr="006E0665">
        <w:t xml:space="preserve"> </w:t>
      </w:r>
      <w:r w:rsidR="00C75078">
        <w:t>It included f</w:t>
      </w:r>
      <w:r>
        <w:t xml:space="preserve">our key areas of action: </w:t>
      </w:r>
    </w:p>
    <w:p w14:paraId="7F2C1C9E" w14:textId="09856D9D" w:rsidR="00864DB1" w:rsidRDefault="00864DB1" w:rsidP="002E0C87">
      <w:pPr>
        <w:pStyle w:val="ListParagraph"/>
        <w:numPr>
          <w:ilvl w:val="0"/>
          <w:numId w:val="2"/>
        </w:numPr>
      </w:pPr>
      <w:r>
        <w:t xml:space="preserve">decarbonising electricity </w:t>
      </w:r>
      <w:proofErr w:type="gramStart"/>
      <w:r>
        <w:t>generation</w:t>
      </w:r>
      <w:r w:rsidR="00C75078">
        <w:t>;</w:t>
      </w:r>
      <w:proofErr w:type="gramEnd"/>
    </w:p>
    <w:p w14:paraId="5A52D21B" w14:textId="5ECAD9CE" w:rsidR="00864DB1" w:rsidRDefault="00864DB1" w:rsidP="002E0C87">
      <w:pPr>
        <w:pStyle w:val="ListParagraph"/>
        <w:numPr>
          <w:ilvl w:val="0"/>
          <w:numId w:val="2"/>
        </w:numPr>
      </w:pPr>
      <w:r>
        <w:t xml:space="preserve">improving energy </w:t>
      </w:r>
      <w:proofErr w:type="gramStart"/>
      <w:r>
        <w:t>efficiency</w:t>
      </w:r>
      <w:r w:rsidR="00C75078">
        <w:t>;</w:t>
      </w:r>
      <w:proofErr w:type="gramEnd"/>
    </w:p>
    <w:p w14:paraId="365347A0" w14:textId="27128F66" w:rsidR="00864DB1" w:rsidRDefault="00864DB1" w:rsidP="002E0C87">
      <w:pPr>
        <w:pStyle w:val="ListParagraph"/>
        <w:numPr>
          <w:ilvl w:val="0"/>
          <w:numId w:val="2"/>
        </w:numPr>
      </w:pPr>
      <w:r>
        <w:t xml:space="preserve">electrifying </w:t>
      </w:r>
      <w:proofErr w:type="gramStart"/>
      <w:r>
        <w:t>transport</w:t>
      </w:r>
      <w:r w:rsidR="00C75078">
        <w:t>;</w:t>
      </w:r>
      <w:proofErr w:type="gramEnd"/>
    </w:p>
    <w:p w14:paraId="33EF9B98" w14:textId="635A2D03" w:rsidR="00864DB1" w:rsidRDefault="00C75078" w:rsidP="002E0C87">
      <w:pPr>
        <w:pStyle w:val="ListParagraph"/>
        <w:numPr>
          <w:ilvl w:val="0"/>
          <w:numId w:val="2"/>
        </w:numPr>
      </w:pPr>
      <w:r>
        <w:t xml:space="preserve">and </w:t>
      </w:r>
      <w:r w:rsidR="00864DB1">
        <w:t>developing low-carbon heating</w:t>
      </w:r>
      <w:r>
        <w:t>.</w:t>
      </w:r>
    </w:p>
    <w:p w14:paraId="1B09BE0D" w14:textId="0FF90271" w:rsidR="00C820E1" w:rsidRDefault="00864DB1" w:rsidP="00864DB1">
      <w:r>
        <w:t>It contains two more detailed reports</w:t>
      </w:r>
      <w:r w:rsidR="00C75078">
        <w:t>:</w:t>
      </w:r>
      <w:r>
        <w:t xml:space="preserve"> the Net Zero Growth Plan</w:t>
      </w:r>
      <w:r>
        <w:rPr>
          <w:rStyle w:val="FootnoteReference"/>
        </w:rPr>
        <w:footnoteReference w:id="2"/>
      </w:r>
      <w:r>
        <w:t xml:space="preserve"> and the Energy Security Plan</w:t>
      </w:r>
      <w:r>
        <w:rPr>
          <w:rStyle w:val="FootnoteReference"/>
        </w:rPr>
        <w:footnoteReference w:id="3"/>
      </w:r>
      <w:r>
        <w:t xml:space="preserve">, </w:t>
      </w:r>
      <w:r w:rsidR="00C75078">
        <w:t xml:space="preserve">which are </w:t>
      </w:r>
      <w:r>
        <w:t xml:space="preserve">summarised below. </w:t>
      </w:r>
      <w:r w:rsidR="00C820E1">
        <w:br/>
      </w:r>
    </w:p>
    <w:p w14:paraId="103D1ABB" w14:textId="77777777" w:rsidR="00864DB1" w:rsidRPr="000826C6" w:rsidRDefault="00864DB1" w:rsidP="00864DB1">
      <w:pPr>
        <w:pStyle w:val="Heading1"/>
      </w:pPr>
      <w:r w:rsidRPr="000826C6">
        <w:t>Main report – key areas</w:t>
      </w:r>
    </w:p>
    <w:p w14:paraId="1337354E" w14:textId="77777777" w:rsidR="00864DB1" w:rsidRPr="00864DB1" w:rsidRDefault="00864DB1" w:rsidP="002E0C87">
      <w:pPr>
        <w:pStyle w:val="Heading2"/>
        <w:rPr>
          <w:rFonts w:asciiTheme="minorHAnsi" w:hAnsiTheme="minorHAnsi" w:cstheme="minorHAnsi"/>
          <w:b/>
          <w:bCs/>
          <w:color w:val="auto"/>
          <w:sz w:val="22"/>
          <w:szCs w:val="22"/>
        </w:rPr>
      </w:pPr>
      <w:r w:rsidRPr="00864DB1">
        <w:rPr>
          <w:rFonts w:asciiTheme="minorHAnsi" w:hAnsiTheme="minorHAnsi" w:cstheme="minorHAnsi"/>
          <w:b/>
          <w:bCs/>
          <w:color w:val="auto"/>
          <w:sz w:val="22"/>
          <w:szCs w:val="22"/>
        </w:rPr>
        <w:t xml:space="preserve">Decarbonising electricity generation </w:t>
      </w:r>
    </w:p>
    <w:p w14:paraId="48049BBF" w14:textId="4AD653B0" w:rsidR="00864DB1" w:rsidRDefault="00864DB1" w:rsidP="00864DB1">
      <w:r>
        <w:t xml:space="preserve">The plan highlights the need to decarbonise electricity generation rapidly by phasing out </w:t>
      </w:r>
      <w:r w:rsidR="006440FF">
        <w:t xml:space="preserve">fossil fuels </w:t>
      </w:r>
      <w:r>
        <w:t>and replacing them with renewable energy sources including offshore wind, solar, and nuclear. It outlines plans to increase investment in energy storage technologies and smart grids to help balance the intermittent nature of renewable energy sources.</w:t>
      </w:r>
    </w:p>
    <w:p w14:paraId="73D7C0E1" w14:textId="77777777" w:rsidR="00864DB1" w:rsidRPr="00864DB1" w:rsidRDefault="00864DB1" w:rsidP="00864DB1">
      <w:pPr>
        <w:pStyle w:val="Heading2"/>
        <w:rPr>
          <w:rFonts w:asciiTheme="minorHAnsi" w:hAnsiTheme="minorHAnsi" w:cstheme="minorHAnsi"/>
          <w:b/>
          <w:bCs/>
          <w:color w:val="auto"/>
          <w:sz w:val="22"/>
          <w:szCs w:val="22"/>
        </w:rPr>
      </w:pPr>
      <w:r w:rsidRPr="00864DB1">
        <w:rPr>
          <w:rFonts w:asciiTheme="minorHAnsi" w:hAnsiTheme="minorHAnsi" w:cstheme="minorHAnsi"/>
          <w:b/>
          <w:bCs/>
          <w:color w:val="auto"/>
          <w:sz w:val="22"/>
          <w:szCs w:val="22"/>
        </w:rPr>
        <w:t>Improving energy efficiency</w:t>
      </w:r>
    </w:p>
    <w:p w14:paraId="370F776B" w14:textId="77777777" w:rsidR="00864DB1" w:rsidRDefault="00864DB1" w:rsidP="00864DB1">
      <w:r>
        <w:t xml:space="preserve">A </w:t>
      </w:r>
      <w:proofErr w:type="gramStart"/>
      <w:r>
        <w:t>key way</w:t>
      </w:r>
      <w:proofErr w:type="gramEnd"/>
      <w:r>
        <w:t xml:space="preserve"> to reduce energy demand and lower emissions. Measures to include improving the energy efficiency of buildings, increasing the use of low-carbon heating technologies, and promoting energy-efficient appliances.</w:t>
      </w:r>
    </w:p>
    <w:p w14:paraId="67650B20" w14:textId="77777777" w:rsidR="00864DB1" w:rsidRPr="00864DB1" w:rsidRDefault="00864DB1" w:rsidP="00864DB1">
      <w:pPr>
        <w:pStyle w:val="Heading2"/>
        <w:rPr>
          <w:rFonts w:asciiTheme="minorHAnsi" w:hAnsiTheme="minorHAnsi" w:cstheme="minorHAnsi"/>
          <w:b/>
          <w:bCs/>
          <w:color w:val="auto"/>
          <w:sz w:val="22"/>
          <w:szCs w:val="22"/>
        </w:rPr>
      </w:pPr>
      <w:r w:rsidRPr="00864DB1">
        <w:rPr>
          <w:rFonts w:asciiTheme="minorHAnsi" w:hAnsiTheme="minorHAnsi" w:cstheme="minorHAnsi"/>
          <w:b/>
          <w:bCs/>
          <w:color w:val="auto"/>
          <w:sz w:val="22"/>
          <w:szCs w:val="22"/>
        </w:rPr>
        <w:t xml:space="preserve">Electrifying transport </w:t>
      </w:r>
    </w:p>
    <w:p w14:paraId="2A68C0DD" w14:textId="77777777" w:rsidR="00864DB1" w:rsidRDefault="00864DB1" w:rsidP="00864DB1">
      <w:r>
        <w:t>Essential for reducing emissions in the transport sector. The report proposes measures such as increasing the availability of electric vehicle charging infrastructure, incentivising the uptake of electric vehicles, and promoting development of low-carbon fuels.</w:t>
      </w:r>
    </w:p>
    <w:p w14:paraId="0FBBA9E4" w14:textId="77777777" w:rsidR="00864DB1" w:rsidRPr="00864DB1" w:rsidRDefault="00864DB1" w:rsidP="00864DB1">
      <w:pPr>
        <w:pStyle w:val="Heading2"/>
        <w:rPr>
          <w:rFonts w:asciiTheme="minorHAnsi" w:hAnsiTheme="minorHAnsi" w:cstheme="minorHAnsi"/>
          <w:b/>
          <w:bCs/>
          <w:color w:val="auto"/>
          <w:sz w:val="22"/>
          <w:szCs w:val="22"/>
        </w:rPr>
      </w:pPr>
      <w:r w:rsidRPr="00864DB1">
        <w:rPr>
          <w:rFonts w:asciiTheme="minorHAnsi" w:hAnsiTheme="minorHAnsi" w:cstheme="minorHAnsi"/>
          <w:b/>
          <w:bCs/>
          <w:color w:val="auto"/>
          <w:sz w:val="22"/>
          <w:szCs w:val="22"/>
        </w:rPr>
        <w:lastRenderedPageBreak/>
        <w:t xml:space="preserve">Developing low-carbon heating </w:t>
      </w:r>
    </w:p>
    <w:p w14:paraId="2D714DDF" w14:textId="77777777" w:rsidR="00864DB1" w:rsidRDefault="00864DB1" w:rsidP="00864DB1">
      <w:r>
        <w:t>This area is intended to address a significant source of emissions in the UK. The report proposes a range of measures, including expanding the use of heat pumps, promoting the use of hydrogen and other low-carbon fuels, and improving energy efficiency of buildings.</w:t>
      </w:r>
    </w:p>
    <w:p w14:paraId="6EC526C5" w14:textId="77777777" w:rsidR="00864DB1" w:rsidRPr="00864DB1" w:rsidRDefault="00864DB1" w:rsidP="00864DB1">
      <w:pPr>
        <w:pStyle w:val="Heading2"/>
        <w:rPr>
          <w:rFonts w:asciiTheme="minorHAnsi" w:hAnsiTheme="minorHAnsi" w:cstheme="minorHAnsi"/>
          <w:b/>
          <w:bCs/>
          <w:color w:val="auto"/>
          <w:sz w:val="22"/>
          <w:szCs w:val="22"/>
        </w:rPr>
      </w:pPr>
      <w:r w:rsidRPr="00864DB1">
        <w:rPr>
          <w:rFonts w:asciiTheme="minorHAnsi" w:hAnsiTheme="minorHAnsi" w:cstheme="minorHAnsi"/>
          <w:b/>
          <w:bCs/>
          <w:color w:val="auto"/>
          <w:sz w:val="22"/>
          <w:szCs w:val="22"/>
        </w:rPr>
        <w:t xml:space="preserve">Focus on Nuclear power </w:t>
      </w:r>
      <w:proofErr w:type="gramStart"/>
      <w:r w:rsidRPr="00864DB1">
        <w:rPr>
          <w:rFonts w:asciiTheme="minorHAnsi" w:hAnsiTheme="minorHAnsi" w:cstheme="minorHAnsi"/>
          <w:b/>
          <w:bCs/>
          <w:color w:val="auto"/>
          <w:sz w:val="22"/>
          <w:szCs w:val="22"/>
        </w:rPr>
        <w:t>generation</w:t>
      </w:r>
      <w:proofErr w:type="gramEnd"/>
    </w:p>
    <w:p w14:paraId="1C6D4DB4" w14:textId="3E362BAF" w:rsidR="00864DB1" w:rsidRDefault="00864DB1" w:rsidP="00864DB1">
      <w:r>
        <w:t xml:space="preserve">The report outlines nuclear power as one of the key energy sources to help decarbonise electricity generation, providing </w:t>
      </w:r>
      <w:r w:rsidR="006440FF">
        <w:t xml:space="preserve">the “critical baseload” for the system. It </w:t>
      </w:r>
      <w:r w:rsidR="002646D8">
        <w:t xml:space="preserve">notes that it provides </w:t>
      </w:r>
      <w:r>
        <w:t>reliable, low-carbon electricity, and that the UK has a strong track record in nuclear technology. Hinkley Point C is expected to provide around 7% of the UK's electricity when it comes online, and government is committed to further new nuclear beyond Hinkley Point C and Sizewell C.</w:t>
      </w:r>
    </w:p>
    <w:p w14:paraId="284AA8DE" w14:textId="4F3EE186" w:rsidR="00864DB1" w:rsidRDefault="00864DB1" w:rsidP="00864DB1">
      <w:r>
        <w:t>There are plans for small modular nuclear reactors (SMRs), to be deployed alongside traditional nuclear power plants. Government is exploring the potential for SMRs and is investing in research and development to support their deployment.</w:t>
      </w:r>
    </w:p>
    <w:p w14:paraId="533D0225" w14:textId="77777777" w:rsidR="00864DB1" w:rsidRDefault="00864DB1" w:rsidP="00864DB1"/>
    <w:p w14:paraId="131E710D" w14:textId="77777777" w:rsidR="00864DB1" w:rsidRPr="00864DB1" w:rsidRDefault="00864DB1" w:rsidP="00864DB1">
      <w:pPr>
        <w:pStyle w:val="Heading1"/>
      </w:pPr>
      <w:r w:rsidRPr="00864DB1">
        <w:t>Powering Up Britain: Energy Security Plan</w:t>
      </w:r>
    </w:p>
    <w:p w14:paraId="6724FFC9" w14:textId="3F36B9FB" w:rsidR="00864DB1" w:rsidRDefault="00864DB1" w:rsidP="00864DB1">
      <w:r>
        <w:t>The Energy Security Plan outlines plans to secure energy supply and decarbonise the energy system.</w:t>
      </w:r>
    </w:p>
    <w:p w14:paraId="2D8B6FDC" w14:textId="0A5CAB10" w:rsidR="002E0C87"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Security of supply</w:t>
      </w:r>
    </w:p>
    <w:p w14:paraId="68B24F8A" w14:textId="6E437925" w:rsidR="00864DB1" w:rsidRDefault="00864DB1" w:rsidP="002E0C87">
      <w:r>
        <w:t>A plan for ensuring security of gas and electricity for the UK over the next two years, addressing the (indirect) effect on global wholesale energy prices of the withdrawal from Russian gas. Measures include investing in domestic energy production, building interconnectors with other countries, and improving energy storage capacity.</w:t>
      </w:r>
    </w:p>
    <w:p w14:paraId="146C4FB5" w14:textId="77777777" w:rsidR="002E0C87"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Energy Demand</w:t>
      </w:r>
    </w:p>
    <w:p w14:paraId="1BA24CF5" w14:textId="6E533250" w:rsidR="00864DB1" w:rsidRDefault="00864DB1" w:rsidP="002E0C87">
      <w:r>
        <w:t xml:space="preserve">The report forecasts an increase in energy demand due to factors such as population growth, economic development, and electrification of transport. To meet this demand, the government plans to invest in renewable energy and nuclear power, as well as </w:t>
      </w:r>
      <w:r w:rsidR="002646D8">
        <w:t xml:space="preserve">mitigation through </w:t>
      </w:r>
      <w:r>
        <w:t>improv</w:t>
      </w:r>
      <w:r w:rsidR="002646D8">
        <w:t>ing</w:t>
      </w:r>
      <w:r>
        <w:t xml:space="preserve"> energy efficiency measures.</w:t>
      </w:r>
    </w:p>
    <w:p w14:paraId="0E067C74" w14:textId="77777777" w:rsidR="002E0C87"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Decarbonisation</w:t>
      </w:r>
    </w:p>
    <w:p w14:paraId="3C6F1517" w14:textId="66DEF941" w:rsidR="00864DB1" w:rsidRDefault="00864DB1" w:rsidP="002E0C87">
      <w:r>
        <w:t xml:space="preserve">The </w:t>
      </w:r>
      <w:r w:rsidR="002646D8">
        <w:t>commitment</w:t>
      </w:r>
      <w:r>
        <w:t xml:space="preserve"> to achiev</w:t>
      </w:r>
      <w:r w:rsidR="002646D8">
        <w:t>ing</w:t>
      </w:r>
      <w:r>
        <w:t xml:space="preserve"> net-zero emissions by 2050</w:t>
      </w:r>
      <w:r w:rsidR="002646D8">
        <w:t xml:space="preserve"> is confirmed</w:t>
      </w:r>
      <w:r>
        <w:t xml:space="preserve">. </w:t>
      </w:r>
      <w:r w:rsidR="002646D8">
        <w:t>I</w:t>
      </w:r>
      <w:r>
        <w:t xml:space="preserve">nvestment in low-carbon technologies </w:t>
      </w:r>
      <w:r w:rsidR="002646D8">
        <w:t xml:space="preserve">to be </w:t>
      </w:r>
      <w:r>
        <w:t xml:space="preserve">supported by carbon capture and storage. A goal is to have wholesale electricity prices among the lowest in </w:t>
      </w:r>
      <w:r w:rsidR="002E0C87">
        <w:t>Europe</w:t>
      </w:r>
      <w:r>
        <w:t xml:space="preserve"> by 2035.</w:t>
      </w:r>
    </w:p>
    <w:p w14:paraId="5FED17B4" w14:textId="77777777" w:rsidR="002E0C87"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Innovation</w:t>
      </w:r>
    </w:p>
    <w:p w14:paraId="0C88F524" w14:textId="26568305" w:rsidR="00864DB1" w:rsidRDefault="00864DB1" w:rsidP="002E0C87">
      <w:r>
        <w:t>The report emphasises the importance of innovation in driving the transition to a low-carbon energy system. The government plans to invest in research and development of new technologies, as well as support the deployment of innovative energy projects.</w:t>
      </w:r>
    </w:p>
    <w:p w14:paraId="695479FA" w14:textId="77777777" w:rsidR="002E0C87"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International Cooperation</w:t>
      </w:r>
    </w:p>
    <w:p w14:paraId="7D311B20" w14:textId="34061B5C" w:rsidR="00864DB1" w:rsidRDefault="00864DB1" w:rsidP="002E0C87">
      <w:r>
        <w:t>The report stresses the need for international cooperation to tackle global energy challenges. There are plans to work with other countries to promote the development of low-carbon technologies and improve energy security.</w:t>
      </w:r>
    </w:p>
    <w:p w14:paraId="5FEA8B8A" w14:textId="77777777"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Market Arrangements:</w:t>
      </w:r>
    </w:p>
    <w:p w14:paraId="43F82325" w14:textId="77777777" w:rsidR="00864DB1" w:rsidRDefault="00864DB1" w:rsidP="002E0C87">
      <w:pPr>
        <w:pStyle w:val="ListParagraph"/>
        <w:numPr>
          <w:ilvl w:val="0"/>
          <w:numId w:val="3"/>
        </w:numPr>
      </w:pPr>
      <w:r>
        <w:t xml:space="preserve">Review of Electricity Market Arrangements published in autumn </w:t>
      </w:r>
      <w:proofErr w:type="gramStart"/>
      <w:r>
        <w:t>2023</w:t>
      </w:r>
      <w:proofErr w:type="gramEnd"/>
    </w:p>
    <w:p w14:paraId="21691F81" w14:textId="788F0C62" w:rsidR="00864DB1" w:rsidRDefault="00864DB1" w:rsidP="002E0C87">
      <w:pPr>
        <w:pStyle w:val="ListParagraph"/>
        <w:numPr>
          <w:ilvl w:val="0"/>
          <w:numId w:val="3"/>
        </w:numPr>
      </w:pPr>
      <w:r>
        <w:lastRenderedPageBreak/>
        <w:t xml:space="preserve">Focus on the relationship between wholesale and retail energy markets during the decarbonisation </w:t>
      </w:r>
      <w:proofErr w:type="gramStart"/>
      <w:r w:rsidR="002E0C87">
        <w:t>transition</w:t>
      </w:r>
      <w:proofErr w:type="gramEnd"/>
    </w:p>
    <w:p w14:paraId="32C8B2B4" w14:textId="77777777"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Nuclear Sector</w:t>
      </w:r>
    </w:p>
    <w:p w14:paraId="587C81B9" w14:textId="77777777" w:rsidR="00864DB1" w:rsidRDefault="00864DB1" w:rsidP="00864DB1">
      <w:r>
        <w:t>The report highlights the importance of the nuclear sector in meeting the UK's energy needs and achieving decarbonisation goals. It confirms the ambition to bring online 24 GWe of nuclear capacity by 2050 (25% of projected electricity demand).</w:t>
      </w:r>
    </w:p>
    <w:p w14:paraId="3B898A59" w14:textId="77777777" w:rsidR="00864DB1" w:rsidRDefault="00864DB1" w:rsidP="00864DB1">
      <w:r>
        <w:t>This is to be achieved through completion of Hinkley Point C, Sizewell C and then a mixture of support for gigawatt-scale reactors alongside development of small modular reactors (SMRS) and advanced modular reactors (AMRS).</w:t>
      </w:r>
    </w:p>
    <w:p w14:paraId="268D40A4" w14:textId="77777777"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 xml:space="preserve">Nuclear National Policy Statement </w:t>
      </w:r>
    </w:p>
    <w:p w14:paraId="13F591EC" w14:textId="440D8A58" w:rsidR="00864DB1" w:rsidRDefault="00864DB1" w:rsidP="00864DB1">
      <w:r>
        <w:t xml:space="preserve">A new Nuclear National Policy Statement (NPS) is announced, covering the siting and policy framework for nuclear electricity generating infrastructure beyond 2025. Consultation on the proposed approach to siting new nuclear projects to </w:t>
      </w:r>
      <w:r w:rsidR="002E0C87">
        <w:t>begin</w:t>
      </w:r>
      <w:r>
        <w:t xml:space="preserve"> later this year, aiming to designate the new NPS following consultation and Parliamentary scrutiny by early 2025.</w:t>
      </w:r>
    </w:p>
    <w:p w14:paraId="4EEBC301" w14:textId="77777777"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Great British Nuclear</w:t>
      </w:r>
    </w:p>
    <w:p w14:paraId="45A4E703" w14:textId="77777777" w:rsidR="00864DB1" w:rsidRDefault="00864DB1" w:rsidP="00864DB1">
      <w:r>
        <w:t>GBN was announced last year and the NSSG has been instrumental in its planning. It will operate through British Nuclear Fuels Ltd and be launched with an interim chair and CEO this year.</w:t>
      </w:r>
    </w:p>
    <w:p w14:paraId="623F3C46" w14:textId="77777777" w:rsidR="00864DB1" w:rsidRDefault="00864DB1" w:rsidP="002E0C87">
      <w:pPr>
        <w:pStyle w:val="ListParagraph"/>
        <w:numPr>
          <w:ilvl w:val="0"/>
          <w:numId w:val="4"/>
        </w:numPr>
      </w:pPr>
      <w:r>
        <w:t>Competitive selection process from April for SMRs</w:t>
      </w:r>
    </w:p>
    <w:p w14:paraId="2EF82FA2" w14:textId="77777777" w:rsidR="00864DB1" w:rsidRDefault="00864DB1" w:rsidP="002E0C87">
      <w:pPr>
        <w:pStyle w:val="ListParagraph"/>
        <w:numPr>
          <w:ilvl w:val="0"/>
          <w:numId w:val="4"/>
        </w:numPr>
      </w:pPr>
      <w:r>
        <w:t>Siting strategy for new developments (SMR and gigawatt-scale)</w:t>
      </w:r>
    </w:p>
    <w:p w14:paraId="02482A67" w14:textId="77777777" w:rsidR="00864DB1" w:rsidRDefault="00864DB1" w:rsidP="002E0C87">
      <w:pPr>
        <w:pStyle w:val="ListParagraph"/>
        <w:numPr>
          <w:ilvl w:val="0"/>
          <w:numId w:val="4"/>
        </w:numPr>
      </w:pPr>
      <w:r>
        <w:t>Future Nuclear Enabling Fund (£120 million)</w:t>
      </w:r>
    </w:p>
    <w:p w14:paraId="258F6F03" w14:textId="77777777" w:rsidR="00864DB1" w:rsidRDefault="00864DB1" w:rsidP="002E0C87">
      <w:pPr>
        <w:pStyle w:val="ListParagraph"/>
        <w:numPr>
          <w:ilvl w:val="0"/>
          <w:numId w:val="4"/>
        </w:numPr>
      </w:pPr>
      <w:r>
        <w:t>Roadmap later in 2023 to address recommendations of the Independent Review of Net Zero</w:t>
      </w:r>
    </w:p>
    <w:p w14:paraId="0AA28569" w14:textId="197213D1" w:rsidR="00864DB1" w:rsidRDefault="00864DB1" w:rsidP="002E0C87">
      <w:pPr>
        <w:pStyle w:val="ListParagraph"/>
        <w:numPr>
          <w:ilvl w:val="0"/>
          <w:numId w:val="4"/>
        </w:numPr>
      </w:pPr>
      <w:r>
        <w:t>Advanced Modular Reactors</w:t>
      </w:r>
      <w:r w:rsidR="002646D8">
        <w:t>:</w:t>
      </w:r>
      <w:r>
        <w:t xml:space="preserve"> Advanced Nuclear Fund to be launched to support </w:t>
      </w:r>
      <w:r w:rsidR="002E0C87">
        <w:t>demonstration</w:t>
      </w:r>
      <w:r>
        <w:t xml:space="preserve"> projects by early 2030s</w:t>
      </w:r>
    </w:p>
    <w:p w14:paraId="17E4C3EB" w14:textId="77777777" w:rsidR="00864DB1" w:rsidRDefault="00864DB1" w:rsidP="002E0C87">
      <w:pPr>
        <w:pStyle w:val="ListParagraph"/>
        <w:numPr>
          <w:ilvl w:val="0"/>
          <w:numId w:val="4"/>
        </w:numPr>
      </w:pPr>
      <w:r>
        <w:t>Nuclear Skills Strategy Group: working with NSSG to deliver the Nuclear Skills Strategic Plan</w:t>
      </w:r>
    </w:p>
    <w:p w14:paraId="3E3CDFBE" w14:textId="77777777"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Nuclear Fusion</w:t>
      </w:r>
    </w:p>
    <w:p w14:paraId="4C4BFFA0" w14:textId="364BFB7D" w:rsidR="00864DB1" w:rsidRDefault="00864DB1" w:rsidP="00864DB1">
      <w:r>
        <w:t xml:space="preserve">Builds upon the 2021 UK Fusion Strategy – focusing on building a </w:t>
      </w:r>
      <w:r w:rsidR="002E0C87">
        <w:t>prototype</w:t>
      </w:r>
      <w:r>
        <w:t xml:space="preserve"> fusion plant capable of providing energy to the grid by 2040.</w:t>
      </w:r>
    </w:p>
    <w:p w14:paraId="1A9A8DBF" w14:textId="078340B2"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Key dates for nuclear</w:t>
      </w:r>
      <w:r w:rsidR="002E0C87">
        <w:rPr>
          <w:rFonts w:asciiTheme="minorHAnsi" w:hAnsiTheme="minorHAnsi" w:cstheme="minorHAnsi"/>
          <w:b/>
          <w:bCs/>
          <w:color w:val="auto"/>
          <w:sz w:val="22"/>
          <w:szCs w:val="22"/>
        </w:rPr>
        <w:t xml:space="preserve"> sector</w:t>
      </w:r>
    </w:p>
    <w:tbl>
      <w:tblPr>
        <w:tblStyle w:val="TableGrid"/>
        <w:tblW w:w="0" w:type="auto"/>
        <w:tblLook w:val="04A0" w:firstRow="1" w:lastRow="0" w:firstColumn="1" w:lastColumn="0" w:noHBand="0" w:noVBand="1"/>
      </w:tblPr>
      <w:tblGrid>
        <w:gridCol w:w="846"/>
        <w:gridCol w:w="6095"/>
      </w:tblGrid>
      <w:tr w:rsidR="00864DB1" w:rsidRPr="00097E8A" w14:paraId="4BD70E92" w14:textId="77777777" w:rsidTr="002E0C87">
        <w:tc>
          <w:tcPr>
            <w:tcW w:w="6941" w:type="dxa"/>
            <w:gridSpan w:val="2"/>
            <w:shd w:val="clear" w:color="auto" w:fill="8EAADB" w:themeFill="accent5" w:themeFillTint="99"/>
          </w:tcPr>
          <w:p w14:paraId="363C8C17" w14:textId="77777777" w:rsidR="00864DB1" w:rsidRPr="00097E8A" w:rsidRDefault="00864DB1" w:rsidP="002C6FAE">
            <w:pPr>
              <w:rPr>
                <w:b/>
                <w:bCs/>
              </w:rPr>
            </w:pPr>
            <w:r w:rsidRPr="00097E8A">
              <w:rPr>
                <w:b/>
                <w:bCs/>
              </w:rPr>
              <w:t>2023</w:t>
            </w:r>
          </w:p>
        </w:tc>
      </w:tr>
      <w:tr w:rsidR="00864DB1" w:rsidRPr="00097E8A" w14:paraId="7A0AEF3A" w14:textId="77777777" w:rsidTr="002C6FAE">
        <w:tc>
          <w:tcPr>
            <w:tcW w:w="846" w:type="dxa"/>
            <w:shd w:val="clear" w:color="auto" w:fill="B4C6E7" w:themeFill="accent5" w:themeFillTint="66"/>
          </w:tcPr>
          <w:p w14:paraId="1456C411" w14:textId="77777777" w:rsidR="00864DB1" w:rsidRPr="00097E8A" w:rsidRDefault="00864DB1" w:rsidP="002C6FAE">
            <w:pPr>
              <w:jc w:val="right"/>
              <w:rPr>
                <w:b/>
                <w:bCs/>
              </w:rPr>
            </w:pPr>
            <w:r w:rsidRPr="00097E8A">
              <w:rPr>
                <w:b/>
                <w:bCs/>
              </w:rPr>
              <w:t xml:space="preserve">Q1 </w:t>
            </w:r>
          </w:p>
        </w:tc>
        <w:tc>
          <w:tcPr>
            <w:tcW w:w="6095" w:type="dxa"/>
            <w:shd w:val="clear" w:color="auto" w:fill="B4C6E7" w:themeFill="accent5" w:themeFillTint="66"/>
          </w:tcPr>
          <w:p w14:paraId="5FAC8F86" w14:textId="77777777" w:rsidR="00864DB1" w:rsidRPr="00097E8A" w:rsidRDefault="00864DB1" w:rsidP="002C6FAE">
            <w:pPr>
              <w:rPr>
                <w:b/>
                <w:bCs/>
              </w:rPr>
            </w:pPr>
          </w:p>
        </w:tc>
      </w:tr>
      <w:tr w:rsidR="00864DB1" w:rsidRPr="00097E8A" w14:paraId="30C2C02D" w14:textId="77777777" w:rsidTr="002C6FAE">
        <w:tc>
          <w:tcPr>
            <w:tcW w:w="846" w:type="dxa"/>
            <w:shd w:val="clear" w:color="auto" w:fill="B4C6E7" w:themeFill="accent5" w:themeFillTint="66"/>
          </w:tcPr>
          <w:p w14:paraId="10888553" w14:textId="77777777" w:rsidR="00864DB1" w:rsidRPr="00097E8A" w:rsidRDefault="00864DB1" w:rsidP="002C6FAE">
            <w:pPr>
              <w:jc w:val="right"/>
            </w:pPr>
          </w:p>
        </w:tc>
        <w:tc>
          <w:tcPr>
            <w:tcW w:w="6095" w:type="dxa"/>
          </w:tcPr>
          <w:p w14:paraId="606F815D" w14:textId="77777777" w:rsidR="00864DB1" w:rsidRPr="00097E8A" w:rsidRDefault="00864DB1" w:rsidP="002C6FAE">
            <w:r w:rsidRPr="00097E8A">
              <w:t>Siting Strategy</w:t>
            </w:r>
          </w:p>
        </w:tc>
      </w:tr>
      <w:tr w:rsidR="00864DB1" w:rsidRPr="00097E8A" w14:paraId="16AE51DF" w14:textId="77777777" w:rsidTr="002C6FAE">
        <w:tc>
          <w:tcPr>
            <w:tcW w:w="846" w:type="dxa"/>
            <w:shd w:val="clear" w:color="auto" w:fill="B4C6E7" w:themeFill="accent5" w:themeFillTint="66"/>
          </w:tcPr>
          <w:p w14:paraId="3A534DB3" w14:textId="77777777" w:rsidR="00864DB1" w:rsidRPr="00097E8A" w:rsidRDefault="00864DB1" w:rsidP="002C6FAE">
            <w:pPr>
              <w:jc w:val="right"/>
            </w:pPr>
          </w:p>
        </w:tc>
        <w:tc>
          <w:tcPr>
            <w:tcW w:w="6095" w:type="dxa"/>
          </w:tcPr>
          <w:p w14:paraId="28D88D37" w14:textId="77777777" w:rsidR="00864DB1" w:rsidRPr="00097E8A" w:rsidRDefault="00864DB1" w:rsidP="002C6FAE">
            <w:r w:rsidRPr="00097E8A">
              <w:t>Launch Great British Nuclear</w:t>
            </w:r>
          </w:p>
        </w:tc>
      </w:tr>
      <w:tr w:rsidR="00864DB1" w:rsidRPr="00097E8A" w14:paraId="19FB428B" w14:textId="77777777" w:rsidTr="002C6FAE">
        <w:tc>
          <w:tcPr>
            <w:tcW w:w="846" w:type="dxa"/>
            <w:shd w:val="clear" w:color="auto" w:fill="B4C6E7" w:themeFill="accent5" w:themeFillTint="66"/>
          </w:tcPr>
          <w:p w14:paraId="38879827" w14:textId="77777777" w:rsidR="00864DB1" w:rsidRPr="00097E8A" w:rsidRDefault="00864DB1" w:rsidP="002C6FAE">
            <w:pPr>
              <w:jc w:val="right"/>
            </w:pPr>
          </w:p>
        </w:tc>
        <w:tc>
          <w:tcPr>
            <w:tcW w:w="6095" w:type="dxa"/>
          </w:tcPr>
          <w:p w14:paraId="44E4D63A" w14:textId="77777777" w:rsidR="00864DB1" w:rsidRPr="00097E8A" w:rsidRDefault="00864DB1" w:rsidP="002C6FAE">
            <w:r w:rsidRPr="00097E8A">
              <w:t>Launch Nuclear Fuel Fund</w:t>
            </w:r>
          </w:p>
        </w:tc>
      </w:tr>
      <w:tr w:rsidR="00864DB1" w:rsidRPr="00097E8A" w14:paraId="14C00EEB" w14:textId="77777777" w:rsidTr="002C6FAE">
        <w:tc>
          <w:tcPr>
            <w:tcW w:w="846" w:type="dxa"/>
            <w:shd w:val="clear" w:color="auto" w:fill="B4C6E7" w:themeFill="accent5" w:themeFillTint="66"/>
          </w:tcPr>
          <w:p w14:paraId="57348F4F" w14:textId="77777777" w:rsidR="00864DB1" w:rsidRPr="00097E8A" w:rsidRDefault="00864DB1" w:rsidP="002C6FAE">
            <w:pPr>
              <w:jc w:val="right"/>
              <w:rPr>
                <w:b/>
                <w:bCs/>
              </w:rPr>
            </w:pPr>
            <w:r w:rsidRPr="00097E8A">
              <w:rPr>
                <w:b/>
                <w:bCs/>
              </w:rPr>
              <w:t>Q2</w:t>
            </w:r>
          </w:p>
        </w:tc>
        <w:tc>
          <w:tcPr>
            <w:tcW w:w="6095" w:type="dxa"/>
            <w:shd w:val="clear" w:color="auto" w:fill="B4C6E7" w:themeFill="accent5" w:themeFillTint="66"/>
          </w:tcPr>
          <w:p w14:paraId="166AA81D" w14:textId="77777777" w:rsidR="00864DB1" w:rsidRPr="00097E8A" w:rsidRDefault="00864DB1" w:rsidP="002C6FAE">
            <w:pPr>
              <w:rPr>
                <w:b/>
                <w:bCs/>
              </w:rPr>
            </w:pPr>
          </w:p>
        </w:tc>
      </w:tr>
      <w:tr w:rsidR="00864DB1" w:rsidRPr="00097E8A" w14:paraId="0FC3A9E0" w14:textId="77777777" w:rsidTr="002C6FAE">
        <w:tc>
          <w:tcPr>
            <w:tcW w:w="846" w:type="dxa"/>
            <w:shd w:val="clear" w:color="auto" w:fill="B4C6E7" w:themeFill="accent5" w:themeFillTint="66"/>
          </w:tcPr>
          <w:p w14:paraId="2709118F" w14:textId="77777777" w:rsidR="00864DB1" w:rsidRPr="00097E8A" w:rsidRDefault="00864DB1" w:rsidP="002C6FAE">
            <w:pPr>
              <w:jc w:val="right"/>
            </w:pPr>
          </w:p>
        </w:tc>
        <w:tc>
          <w:tcPr>
            <w:tcW w:w="6095" w:type="dxa"/>
          </w:tcPr>
          <w:p w14:paraId="21F359AB" w14:textId="77777777" w:rsidR="00864DB1" w:rsidRPr="00097E8A" w:rsidRDefault="00864DB1" w:rsidP="002C6FAE">
            <w:r w:rsidRPr="00097E8A">
              <w:t>AMR R&amp;D programme – commence work on reactors and fuels</w:t>
            </w:r>
          </w:p>
        </w:tc>
      </w:tr>
      <w:tr w:rsidR="00864DB1" w:rsidRPr="00097E8A" w14:paraId="5AE36209" w14:textId="77777777" w:rsidTr="002C6FAE">
        <w:tc>
          <w:tcPr>
            <w:tcW w:w="846" w:type="dxa"/>
            <w:shd w:val="clear" w:color="auto" w:fill="B4C6E7" w:themeFill="accent5" w:themeFillTint="66"/>
          </w:tcPr>
          <w:p w14:paraId="6058A50E" w14:textId="77777777" w:rsidR="00864DB1" w:rsidRPr="00097E8A" w:rsidRDefault="00864DB1" w:rsidP="002C6FAE">
            <w:pPr>
              <w:jc w:val="right"/>
              <w:rPr>
                <w:b/>
                <w:bCs/>
              </w:rPr>
            </w:pPr>
            <w:r w:rsidRPr="00097E8A">
              <w:rPr>
                <w:b/>
                <w:bCs/>
              </w:rPr>
              <w:t>Q3</w:t>
            </w:r>
          </w:p>
        </w:tc>
        <w:tc>
          <w:tcPr>
            <w:tcW w:w="6095" w:type="dxa"/>
            <w:shd w:val="clear" w:color="auto" w:fill="B4C6E7" w:themeFill="accent5" w:themeFillTint="66"/>
          </w:tcPr>
          <w:p w14:paraId="43C0EA25" w14:textId="77777777" w:rsidR="00864DB1" w:rsidRPr="00097E8A" w:rsidRDefault="00864DB1" w:rsidP="002C6FAE">
            <w:pPr>
              <w:rPr>
                <w:b/>
                <w:bCs/>
              </w:rPr>
            </w:pPr>
          </w:p>
        </w:tc>
      </w:tr>
      <w:tr w:rsidR="00864DB1" w:rsidRPr="00097E8A" w14:paraId="5EC891D0" w14:textId="77777777" w:rsidTr="002C6FAE">
        <w:tc>
          <w:tcPr>
            <w:tcW w:w="846" w:type="dxa"/>
            <w:shd w:val="clear" w:color="auto" w:fill="B4C6E7" w:themeFill="accent5" w:themeFillTint="66"/>
          </w:tcPr>
          <w:p w14:paraId="6034CFE1" w14:textId="77777777" w:rsidR="00864DB1" w:rsidRPr="00097E8A" w:rsidRDefault="00864DB1" w:rsidP="002C6FAE"/>
        </w:tc>
        <w:tc>
          <w:tcPr>
            <w:tcW w:w="6095" w:type="dxa"/>
          </w:tcPr>
          <w:p w14:paraId="6517D80F" w14:textId="77777777" w:rsidR="00864DB1" w:rsidRPr="00097E8A" w:rsidRDefault="00864DB1" w:rsidP="002C6FAE">
            <w:r w:rsidRPr="00097E8A">
              <w:t xml:space="preserve">Select SMR </w:t>
            </w:r>
            <w:proofErr w:type="spellStart"/>
            <w:r w:rsidRPr="00097E8A">
              <w:t>technologes</w:t>
            </w:r>
            <w:proofErr w:type="spellEnd"/>
          </w:p>
        </w:tc>
      </w:tr>
      <w:tr w:rsidR="00864DB1" w:rsidRPr="00097E8A" w14:paraId="30B52736" w14:textId="77777777" w:rsidTr="002E0C87">
        <w:tc>
          <w:tcPr>
            <w:tcW w:w="6941" w:type="dxa"/>
            <w:gridSpan w:val="2"/>
            <w:shd w:val="clear" w:color="auto" w:fill="8EAADB" w:themeFill="accent5" w:themeFillTint="99"/>
          </w:tcPr>
          <w:p w14:paraId="4F8EB4A6" w14:textId="77777777" w:rsidR="00864DB1" w:rsidRPr="00097E8A" w:rsidRDefault="00864DB1" w:rsidP="002C6FAE">
            <w:pPr>
              <w:rPr>
                <w:b/>
                <w:bCs/>
              </w:rPr>
            </w:pPr>
            <w:r w:rsidRPr="00097E8A">
              <w:rPr>
                <w:b/>
                <w:bCs/>
              </w:rPr>
              <w:t>2024</w:t>
            </w:r>
          </w:p>
        </w:tc>
      </w:tr>
      <w:tr w:rsidR="00864DB1" w:rsidRPr="00097E8A" w14:paraId="6CD4A2DB" w14:textId="77777777" w:rsidTr="002C6FAE">
        <w:tc>
          <w:tcPr>
            <w:tcW w:w="846" w:type="dxa"/>
            <w:shd w:val="clear" w:color="auto" w:fill="B4C6E7" w:themeFill="accent5" w:themeFillTint="66"/>
          </w:tcPr>
          <w:p w14:paraId="30AE1377" w14:textId="77777777" w:rsidR="00864DB1" w:rsidRPr="00097E8A" w:rsidRDefault="00864DB1" w:rsidP="002C6FAE">
            <w:pPr>
              <w:pStyle w:val="ListParagraph"/>
            </w:pPr>
          </w:p>
        </w:tc>
        <w:tc>
          <w:tcPr>
            <w:tcW w:w="6095" w:type="dxa"/>
          </w:tcPr>
          <w:p w14:paraId="212D95B2" w14:textId="77777777" w:rsidR="00864DB1" w:rsidRPr="00097E8A" w:rsidRDefault="00864DB1" w:rsidP="002C6FAE">
            <w:r w:rsidRPr="00097E8A">
              <w:t>Sizewell C FID</w:t>
            </w:r>
          </w:p>
        </w:tc>
      </w:tr>
      <w:tr w:rsidR="00864DB1" w:rsidRPr="00097E8A" w14:paraId="11A7A8F1" w14:textId="77777777" w:rsidTr="002E0C87">
        <w:tc>
          <w:tcPr>
            <w:tcW w:w="6941" w:type="dxa"/>
            <w:gridSpan w:val="2"/>
            <w:shd w:val="clear" w:color="auto" w:fill="8EAADB" w:themeFill="accent5" w:themeFillTint="99"/>
          </w:tcPr>
          <w:p w14:paraId="3478998E" w14:textId="77777777" w:rsidR="00864DB1" w:rsidRPr="00097E8A" w:rsidRDefault="00864DB1" w:rsidP="002C6FAE">
            <w:pPr>
              <w:rPr>
                <w:b/>
                <w:bCs/>
              </w:rPr>
            </w:pPr>
            <w:r w:rsidRPr="00097E8A">
              <w:rPr>
                <w:b/>
                <w:bCs/>
              </w:rPr>
              <w:t>2025-2030</w:t>
            </w:r>
          </w:p>
        </w:tc>
      </w:tr>
      <w:tr w:rsidR="00864DB1" w:rsidRPr="00097E8A" w14:paraId="5B278F3B" w14:textId="77777777" w:rsidTr="002C6FAE">
        <w:tc>
          <w:tcPr>
            <w:tcW w:w="846" w:type="dxa"/>
            <w:shd w:val="clear" w:color="auto" w:fill="B4C6E7" w:themeFill="accent5" w:themeFillTint="66"/>
          </w:tcPr>
          <w:p w14:paraId="6808DC8C" w14:textId="77777777" w:rsidR="00864DB1" w:rsidRPr="00097E8A" w:rsidRDefault="00864DB1" w:rsidP="002C6FAE">
            <w:pPr>
              <w:pStyle w:val="ListParagraph"/>
            </w:pPr>
          </w:p>
        </w:tc>
        <w:tc>
          <w:tcPr>
            <w:tcW w:w="6095" w:type="dxa"/>
          </w:tcPr>
          <w:p w14:paraId="3701CD23" w14:textId="77777777" w:rsidR="00864DB1" w:rsidRPr="00097E8A" w:rsidRDefault="00864DB1" w:rsidP="002C6FAE">
            <w:r w:rsidRPr="00097E8A">
              <w:t>AMR Phase B concludes</w:t>
            </w:r>
          </w:p>
        </w:tc>
      </w:tr>
      <w:tr w:rsidR="00864DB1" w:rsidRPr="00097E8A" w14:paraId="41764D17" w14:textId="77777777" w:rsidTr="002C6FAE">
        <w:tc>
          <w:tcPr>
            <w:tcW w:w="846" w:type="dxa"/>
            <w:shd w:val="clear" w:color="auto" w:fill="B4C6E7" w:themeFill="accent5" w:themeFillTint="66"/>
          </w:tcPr>
          <w:p w14:paraId="17AEAA45" w14:textId="77777777" w:rsidR="00864DB1" w:rsidRPr="00097E8A" w:rsidRDefault="00864DB1" w:rsidP="002C6FAE">
            <w:pPr>
              <w:pStyle w:val="ListParagraph"/>
            </w:pPr>
          </w:p>
        </w:tc>
        <w:tc>
          <w:tcPr>
            <w:tcW w:w="6095" w:type="dxa"/>
          </w:tcPr>
          <w:p w14:paraId="22C6D8C2" w14:textId="77777777" w:rsidR="00864DB1" w:rsidRPr="00097E8A" w:rsidRDefault="00864DB1" w:rsidP="002C6FAE">
            <w:r w:rsidRPr="00097E8A">
              <w:t>AMR construction begins</w:t>
            </w:r>
          </w:p>
        </w:tc>
      </w:tr>
      <w:tr w:rsidR="00864DB1" w:rsidRPr="00097E8A" w14:paraId="18365A67" w14:textId="77777777" w:rsidTr="002C6FAE">
        <w:tc>
          <w:tcPr>
            <w:tcW w:w="846" w:type="dxa"/>
            <w:shd w:val="clear" w:color="auto" w:fill="B4C6E7" w:themeFill="accent5" w:themeFillTint="66"/>
          </w:tcPr>
          <w:p w14:paraId="72783130" w14:textId="77777777" w:rsidR="00864DB1" w:rsidRPr="00097E8A" w:rsidRDefault="00864DB1" w:rsidP="002C6FAE">
            <w:pPr>
              <w:pStyle w:val="ListParagraph"/>
            </w:pPr>
          </w:p>
        </w:tc>
        <w:tc>
          <w:tcPr>
            <w:tcW w:w="6095" w:type="dxa"/>
          </w:tcPr>
          <w:p w14:paraId="0803E35F" w14:textId="77777777" w:rsidR="00864DB1" w:rsidRPr="00097E8A" w:rsidRDefault="00864DB1" w:rsidP="002C6FAE">
            <w:r w:rsidRPr="00097E8A">
              <w:t>Two more FIDs (including SMRs)</w:t>
            </w:r>
          </w:p>
        </w:tc>
      </w:tr>
    </w:tbl>
    <w:p w14:paraId="7836DF4E" w14:textId="77777777" w:rsidR="00864DB1" w:rsidRDefault="00864DB1" w:rsidP="00864DB1"/>
    <w:p w14:paraId="6425448D" w14:textId="77777777" w:rsidR="00864DB1" w:rsidRPr="002E0C87" w:rsidRDefault="00864DB1" w:rsidP="002E0C87">
      <w:pPr>
        <w:pStyle w:val="Heading1"/>
      </w:pPr>
      <w:r w:rsidRPr="002E0C87">
        <w:lastRenderedPageBreak/>
        <w:t>Powering Up Britain: The Net Zero Growth Plan</w:t>
      </w:r>
    </w:p>
    <w:p w14:paraId="637E7AB4" w14:textId="4C6D3CD0"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Net Zero by 2050</w:t>
      </w:r>
    </w:p>
    <w:p w14:paraId="0636471A" w14:textId="77777777" w:rsidR="00864DB1" w:rsidRDefault="00864DB1" w:rsidP="002E0C87">
      <w:pPr>
        <w:pStyle w:val="ListParagraph"/>
        <w:numPr>
          <w:ilvl w:val="0"/>
          <w:numId w:val="5"/>
        </w:numPr>
      </w:pPr>
      <w:r>
        <w:t xml:space="preserve">UK's legally binding target to reach net-zero greenhouse gas emissions by </w:t>
      </w:r>
      <w:proofErr w:type="gramStart"/>
      <w:r>
        <w:t>2050</w:t>
      </w:r>
      <w:proofErr w:type="gramEnd"/>
    </w:p>
    <w:p w14:paraId="6B525FA6" w14:textId="77777777" w:rsidR="00864DB1" w:rsidRDefault="00864DB1" w:rsidP="002E0C87">
      <w:pPr>
        <w:pStyle w:val="ListParagraph"/>
        <w:numPr>
          <w:ilvl w:val="0"/>
          <w:numId w:val="5"/>
        </w:numPr>
      </w:pPr>
      <w:r>
        <w:t>Commitment to meeting the goals set in the Paris Agreement</w:t>
      </w:r>
    </w:p>
    <w:p w14:paraId="522C4DC7" w14:textId="77777777" w:rsidR="00864DB1" w:rsidRDefault="00864DB1" w:rsidP="002E0C87">
      <w:pPr>
        <w:pStyle w:val="ListParagraph"/>
        <w:numPr>
          <w:ilvl w:val="0"/>
          <w:numId w:val="5"/>
        </w:numPr>
      </w:pPr>
      <w:r>
        <w:t>Investment and Innovation:</w:t>
      </w:r>
    </w:p>
    <w:p w14:paraId="08B0A97B" w14:textId="77777777" w:rsidR="00864DB1" w:rsidRDefault="00864DB1" w:rsidP="002E0C87">
      <w:pPr>
        <w:pStyle w:val="ListParagraph"/>
        <w:numPr>
          <w:ilvl w:val="1"/>
          <w:numId w:val="5"/>
        </w:numPr>
      </w:pPr>
      <w:r>
        <w:t>£12 billion of government investment</w:t>
      </w:r>
    </w:p>
    <w:p w14:paraId="7C629385" w14:textId="77777777" w:rsidR="00864DB1" w:rsidRDefault="00864DB1" w:rsidP="002E0C87">
      <w:pPr>
        <w:pStyle w:val="ListParagraph"/>
        <w:numPr>
          <w:ilvl w:val="1"/>
          <w:numId w:val="5"/>
        </w:numPr>
      </w:pPr>
      <w:r>
        <w:t xml:space="preserve">Aims to leverage up to £44 billion of private sector </w:t>
      </w:r>
      <w:proofErr w:type="gramStart"/>
      <w:r>
        <w:t>funding</w:t>
      </w:r>
      <w:proofErr w:type="gramEnd"/>
    </w:p>
    <w:p w14:paraId="6CC24C3A" w14:textId="77777777" w:rsidR="00864DB1" w:rsidRDefault="00864DB1" w:rsidP="002E0C87">
      <w:pPr>
        <w:pStyle w:val="ListParagraph"/>
        <w:numPr>
          <w:ilvl w:val="1"/>
          <w:numId w:val="5"/>
        </w:numPr>
      </w:pPr>
      <w:r>
        <w:t>Encouraging private sector investment through incentives and policies</w:t>
      </w:r>
    </w:p>
    <w:p w14:paraId="74F33119" w14:textId="1978DAC3"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Nuclear Sector</w:t>
      </w:r>
    </w:p>
    <w:p w14:paraId="30AF78CE" w14:textId="77777777" w:rsidR="00864DB1" w:rsidRDefault="00864DB1" w:rsidP="002E0C87">
      <w:pPr>
        <w:pStyle w:val="ListParagraph"/>
        <w:numPr>
          <w:ilvl w:val="0"/>
          <w:numId w:val="6"/>
        </w:numPr>
      </w:pPr>
      <w:r>
        <w:t xml:space="preserve">Recognised as a critical component of the low-carbon energy </w:t>
      </w:r>
      <w:proofErr w:type="gramStart"/>
      <w:r>
        <w:t>mix</w:t>
      </w:r>
      <w:proofErr w:type="gramEnd"/>
    </w:p>
    <w:p w14:paraId="56BA3FE4" w14:textId="77777777" w:rsidR="00864DB1" w:rsidRDefault="00864DB1" w:rsidP="002E0C87">
      <w:pPr>
        <w:pStyle w:val="ListParagraph"/>
        <w:numPr>
          <w:ilvl w:val="0"/>
          <w:numId w:val="6"/>
        </w:numPr>
      </w:pPr>
      <w:r>
        <w:t>Committed to the development of nuclear power, including SMRs and AMRs</w:t>
      </w:r>
    </w:p>
    <w:p w14:paraId="4231EB7D" w14:textId="1A3C6199"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Offshore Wind Sector</w:t>
      </w:r>
    </w:p>
    <w:p w14:paraId="1023F633" w14:textId="77777777" w:rsidR="00864DB1" w:rsidRDefault="00864DB1" w:rsidP="002E0C87">
      <w:pPr>
        <w:pStyle w:val="ListParagraph"/>
        <w:numPr>
          <w:ilvl w:val="0"/>
          <w:numId w:val="7"/>
        </w:numPr>
      </w:pPr>
      <w:r>
        <w:t>Plans to increase offshore wind capacity to 40 GW by 2030</w:t>
      </w:r>
    </w:p>
    <w:p w14:paraId="4EA8C98F" w14:textId="77777777" w:rsidR="00864DB1" w:rsidRDefault="00864DB1" w:rsidP="002E0C87">
      <w:pPr>
        <w:pStyle w:val="ListParagraph"/>
        <w:numPr>
          <w:ilvl w:val="0"/>
          <w:numId w:val="7"/>
        </w:numPr>
      </w:pPr>
      <w:r>
        <w:t>Creation of thousands of jobs in construction, operations, and maintenance</w:t>
      </w:r>
    </w:p>
    <w:p w14:paraId="3C495448" w14:textId="11F5B563"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Carbon Capture, Utilisation, and Storage (CCUS)</w:t>
      </w:r>
    </w:p>
    <w:p w14:paraId="6433261F" w14:textId="77777777" w:rsidR="00864DB1" w:rsidRDefault="00864DB1" w:rsidP="002E0C87">
      <w:pPr>
        <w:pStyle w:val="ListParagraph"/>
        <w:numPr>
          <w:ilvl w:val="0"/>
          <w:numId w:val="8"/>
        </w:numPr>
      </w:pPr>
      <w:r>
        <w:t>£1 billion investment in CCUS infrastructure</w:t>
      </w:r>
    </w:p>
    <w:p w14:paraId="194A568B" w14:textId="77777777" w:rsidR="00864DB1" w:rsidRDefault="00864DB1" w:rsidP="002E0C87">
      <w:pPr>
        <w:pStyle w:val="ListParagraph"/>
        <w:numPr>
          <w:ilvl w:val="0"/>
          <w:numId w:val="8"/>
        </w:numPr>
      </w:pPr>
      <w:r>
        <w:t>Aims to capture 10 million tonnes of CO</w:t>
      </w:r>
      <w:r w:rsidRPr="00097E8A">
        <w:rPr>
          <w:vertAlign w:val="superscript"/>
        </w:rPr>
        <w:t>2</w:t>
      </w:r>
      <w:r>
        <w:t xml:space="preserve"> per year by </w:t>
      </w:r>
      <w:proofErr w:type="gramStart"/>
      <w:r>
        <w:t>2030</w:t>
      </w:r>
      <w:proofErr w:type="gramEnd"/>
    </w:p>
    <w:p w14:paraId="53E6DFD2" w14:textId="4307813C"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Hydrogen Economy</w:t>
      </w:r>
    </w:p>
    <w:p w14:paraId="5B256683" w14:textId="77777777" w:rsidR="00864DB1" w:rsidRDefault="00864DB1" w:rsidP="002E0C87">
      <w:pPr>
        <w:pStyle w:val="ListParagraph"/>
        <w:numPr>
          <w:ilvl w:val="0"/>
          <w:numId w:val="9"/>
        </w:numPr>
      </w:pPr>
      <w:r>
        <w:t>Developing a UK-wide hydrogen economy</w:t>
      </w:r>
    </w:p>
    <w:p w14:paraId="44DA86A8" w14:textId="77777777" w:rsidR="00864DB1" w:rsidRDefault="00864DB1" w:rsidP="002E0C87">
      <w:pPr>
        <w:pStyle w:val="ListParagraph"/>
        <w:numPr>
          <w:ilvl w:val="0"/>
          <w:numId w:val="9"/>
        </w:numPr>
      </w:pPr>
      <w:r>
        <w:t xml:space="preserve">£240 million Net Zero Hydrogen Fund to support hydrogen </w:t>
      </w:r>
      <w:proofErr w:type="gramStart"/>
      <w:r>
        <w:t>production</w:t>
      </w:r>
      <w:proofErr w:type="gramEnd"/>
    </w:p>
    <w:p w14:paraId="0E6CB76C" w14:textId="5CA863BF"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Energy Efficiency and Buildings</w:t>
      </w:r>
    </w:p>
    <w:p w14:paraId="7BC55C48" w14:textId="77777777" w:rsidR="00864DB1" w:rsidRDefault="00864DB1" w:rsidP="002E0C87">
      <w:pPr>
        <w:pStyle w:val="ListParagraph"/>
        <w:numPr>
          <w:ilvl w:val="0"/>
          <w:numId w:val="10"/>
        </w:numPr>
      </w:pPr>
      <w:r>
        <w:t>£9.2 billion investment in building efficiency and heat decarbonisation</w:t>
      </w:r>
    </w:p>
    <w:p w14:paraId="5D72433F" w14:textId="77777777" w:rsidR="00864DB1" w:rsidRDefault="00864DB1" w:rsidP="002E0C87">
      <w:pPr>
        <w:pStyle w:val="ListParagraph"/>
        <w:numPr>
          <w:ilvl w:val="0"/>
          <w:numId w:val="10"/>
        </w:numPr>
      </w:pPr>
      <w:r>
        <w:t xml:space="preserve">Focus on public sector buildings, homes, and social </w:t>
      </w:r>
      <w:proofErr w:type="gramStart"/>
      <w:r>
        <w:t>housing</w:t>
      </w:r>
      <w:proofErr w:type="gramEnd"/>
    </w:p>
    <w:p w14:paraId="038AA2EE" w14:textId="23DC7CB1"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Green Finance</w:t>
      </w:r>
    </w:p>
    <w:p w14:paraId="78992C2B" w14:textId="77777777" w:rsidR="00864DB1" w:rsidRDefault="00864DB1" w:rsidP="002E0C87">
      <w:pPr>
        <w:pStyle w:val="ListParagraph"/>
        <w:numPr>
          <w:ilvl w:val="0"/>
          <w:numId w:val="11"/>
        </w:numPr>
      </w:pPr>
      <w:r>
        <w:t>Promoting green finance and investment to support the transition to a low-carbon economy.</w:t>
      </w:r>
    </w:p>
    <w:p w14:paraId="2740782A" w14:textId="77777777" w:rsidR="00864DB1" w:rsidRDefault="00864DB1" w:rsidP="002E0C87">
      <w:pPr>
        <w:pStyle w:val="ListParagraph"/>
        <w:numPr>
          <w:ilvl w:val="0"/>
          <w:numId w:val="11"/>
        </w:numPr>
      </w:pPr>
      <w:r>
        <w:t>Greening of the financial system - issuance of the UK's first Sovereign Green Bond</w:t>
      </w:r>
    </w:p>
    <w:p w14:paraId="6F4EB78D" w14:textId="713F48E5" w:rsidR="00864DB1" w:rsidRPr="002E0C87" w:rsidRDefault="00864DB1" w:rsidP="002E0C87">
      <w:pPr>
        <w:pStyle w:val="Heading2"/>
        <w:rPr>
          <w:rFonts w:asciiTheme="minorHAnsi" w:hAnsiTheme="minorHAnsi" w:cstheme="minorHAnsi"/>
          <w:b/>
          <w:bCs/>
          <w:color w:val="auto"/>
          <w:sz w:val="22"/>
          <w:szCs w:val="22"/>
        </w:rPr>
      </w:pPr>
      <w:r w:rsidRPr="002E0C87">
        <w:rPr>
          <w:rFonts w:asciiTheme="minorHAnsi" w:hAnsiTheme="minorHAnsi" w:cstheme="minorHAnsi"/>
          <w:b/>
          <w:bCs/>
          <w:color w:val="auto"/>
          <w:sz w:val="22"/>
          <w:szCs w:val="22"/>
        </w:rPr>
        <w:t>Transport and Infrastructure</w:t>
      </w:r>
    </w:p>
    <w:p w14:paraId="39E48353" w14:textId="77777777" w:rsidR="00864DB1" w:rsidRDefault="00864DB1" w:rsidP="002E0C87">
      <w:pPr>
        <w:pStyle w:val="ListParagraph"/>
        <w:numPr>
          <w:ilvl w:val="0"/>
          <w:numId w:val="12"/>
        </w:numPr>
      </w:pPr>
      <w:r>
        <w:t xml:space="preserve">Support for the development of electric vehicles and charging </w:t>
      </w:r>
      <w:proofErr w:type="gramStart"/>
      <w:r>
        <w:t>infrastructure</w:t>
      </w:r>
      <w:proofErr w:type="gramEnd"/>
    </w:p>
    <w:p w14:paraId="0E8EDE99" w14:textId="77777777" w:rsidR="00864DB1" w:rsidRDefault="00864DB1" w:rsidP="002E0C87">
      <w:pPr>
        <w:pStyle w:val="ListParagraph"/>
        <w:numPr>
          <w:ilvl w:val="0"/>
          <w:numId w:val="12"/>
        </w:numPr>
      </w:pPr>
      <w:r>
        <w:t>Phasing out the sale of new petrol and diesel cars and vans by 2030</w:t>
      </w:r>
    </w:p>
    <w:p w14:paraId="749B7A77" w14:textId="74537EE4" w:rsidR="00DD2767" w:rsidRDefault="00DD2767" w:rsidP="00864DB1"/>
    <w:sectPr w:rsidR="00DD2767" w:rsidSect="00D06F83">
      <w:headerReference w:type="even" r:id="rId11"/>
      <w:headerReference w:type="default" r:id="rId12"/>
      <w:footerReference w:type="default" r:id="rId13"/>
      <w:headerReference w:type="first" r:id="rId14"/>
      <w:pgSz w:w="11906" w:h="16838"/>
      <w:pgMar w:top="1440" w:right="1440" w:bottom="1440" w:left="1440" w:header="709"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472A" w14:textId="77777777" w:rsidR="00266F8D" w:rsidRDefault="00266F8D" w:rsidP="00C23192">
      <w:pPr>
        <w:spacing w:after="0" w:line="240" w:lineRule="auto"/>
      </w:pPr>
      <w:r>
        <w:separator/>
      </w:r>
    </w:p>
  </w:endnote>
  <w:endnote w:type="continuationSeparator" w:id="0">
    <w:p w14:paraId="4F230C81" w14:textId="77777777" w:rsidR="00266F8D" w:rsidRDefault="00266F8D" w:rsidP="00C2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CB9" w14:textId="3FF505C3" w:rsidR="00EC11F9" w:rsidRDefault="00EC11F9">
    <w:pPr>
      <w:pStyle w:val="Footer"/>
    </w:pPr>
    <w:r>
      <w:tab/>
      <w:t xml:space="preserve">Page </w:t>
    </w:r>
    <w:r>
      <w:fldChar w:fldCharType="begin"/>
    </w:r>
    <w:r>
      <w:instrText xml:space="preserve"> PAGE   \* MERGEFORMAT </w:instrText>
    </w:r>
    <w:r>
      <w:fldChar w:fldCharType="separate"/>
    </w:r>
    <w:r>
      <w:rPr>
        <w:noProof/>
      </w:rPr>
      <w:t>1</w:t>
    </w:r>
    <w:r>
      <w:fldChar w:fldCharType="end"/>
    </w:r>
    <w:r>
      <w:t xml:space="preserve"> of </w:t>
    </w:r>
    <w:r w:rsidR="00C820E1">
      <w:fldChar w:fldCharType="begin"/>
    </w:r>
    <w:r w:rsidR="00C820E1">
      <w:instrText xml:space="preserve"> NUMPAGES   \* MERGEFORMAT </w:instrText>
    </w:r>
    <w:r w:rsidR="00C820E1">
      <w:fldChar w:fldCharType="separate"/>
    </w:r>
    <w:r>
      <w:rPr>
        <w:noProof/>
      </w:rPr>
      <w:t>8</w:t>
    </w:r>
    <w:r w:rsidR="00C820E1">
      <w:rPr>
        <w:noProof/>
      </w:rPr>
      <w:fldChar w:fldCharType="end"/>
    </w:r>
    <w:r w:rsidR="0097337D">
      <w:rPr>
        <w:noProof/>
      </w:rPr>
      <w:ptab w:relativeTo="margin" w:alignment="right" w:leader="none"/>
    </w:r>
    <w:r w:rsidR="00724A0A">
      <w:rPr>
        <w:noProof/>
      </w:rPr>
      <w:t xml:space="preserve">Martin McManus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86AE" w14:textId="77777777" w:rsidR="00266F8D" w:rsidRDefault="00266F8D" w:rsidP="00C23192">
      <w:pPr>
        <w:spacing w:after="0" w:line="240" w:lineRule="auto"/>
      </w:pPr>
      <w:r>
        <w:separator/>
      </w:r>
    </w:p>
  </w:footnote>
  <w:footnote w:type="continuationSeparator" w:id="0">
    <w:p w14:paraId="4F812A28" w14:textId="77777777" w:rsidR="00266F8D" w:rsidRDefault="00266F8D" w:rsidP="00C23192">
      <w:pPr>
        <w:spacing w:after="0" w:line="240" w:lineRule="auto"/>
      </w:pPr>
      <w:r>
        <w:continuationSeparator/>
      </w:r>
    </w:p>
  </w:footnote>
  <w:footnote w:id="1">
    <w:p w14:paraId="19FE4616" w14:textId="77777777" w:rsidR="00864DB1" w:rsidRDefault="00864DB1" w:rsidP="00864DB1">
      <w:pPr>
        <w:pStyle w:val="FootnoteText"/>
      </w:pPr>
      <w:r>
        <w:rPr>
          <w:rStyle w:val="FootnoteReference"/>
        </w:rPr>
        <w:footnoteRef/>
      </w:r>
      <w:r>
        <w:t xml:space="preserve"> </w:t>
      </w:r>
      <w:hyperlink r:id="rId1" w:history="1">
        <w:r w:rsidRPr="00BC1136">
          <w:rPr>
            <w:rStyle w:val="Hyperlink"/>
          </w:rPr>
          <w:t>https://www.gov.uk/government/publications/powering-up-britain</w:t>
        </w:r>
      </w:hyperlink>
    </w:p>
    <w:p w14:paraId="4AD37DCD" w14:textId="77777777" w:rsidR="00864DB1" w:rsidRDefault="00864DB1" w:rsidP="00864DB1">
      <w:pPr>
        <w:pStyle w:val="FootnoteText"/>
      </w:pPr>
    </w:p>
  </w:footnote>
  <w:footnote w:id="2">
    <w:p w14:paraId="2E8E0A13" w14:textId="77777777" w:rsidR="00864DB1" w:rsidRDefault="00864DB1" w:rsidP="00864DB1">
      <w:pPr>
        <w:pStyle w:val="FootnoteText"/>
      </w:pPr>
      <w:r>
        <w:rPr>
          <w:rStyle w:val="FootnoteReference"/>
        </w:rPr>
        <w:footnoteRef/>
      </w:r>
      <w:r>
        <w:t xml:space="preserve"> </w:t>
      </w:r>
      <w:hyperlink r:id="rId2" w:history="1">
        <w:r w:rsidRPr="00BC1136">
          <w:rPr>
            <w:rStyle w:val="Hyperlink"/>
          </w:rPr>
          <w:t>https://assets.publishing.service.gov.uk/government/uploads/system/uploads/attachment_data/file/1147457/powering-up-britain-net-zero-growth-plan.pdf</w:t>
        </w:r>
      </w:hyperlink>
    </w:p>
    <w:p w14:paraId="1A254443" w14:textId="77777777" w:rsidR="00864DB1" w:rsidRDefault="00864DB1" w:rsidP="00864DB1">
      <w:pPr>
        <w:pStyle w:val="FootnoteText"/>
      </w:pPr>
    </w:p>
  </w:footnote>
  <w:footnote w:id="3">
    <w:p w14:paraId="22B86B26" w14:textId="77777777" w:rsidR="00864DB1" w:rsidRDefault="00864DB1" w:rsidP="00864DB1">
      <w:pPr>
        <w:pStyle w:val="FootnoteText"/>
      </w:pPr>
      <w:r>
        <w:rPr>
          <w:rStyle w:val="FootnoteReference"/>
        </w:rPr>
        <w:footnoteRef/>
      </w:r>
      <w:r>
        <w:t xml:space="preserve"> </w:t>
      </w:r>
      <w:hyperlink r:id="rId3" w:history="1">
        <w:r w:rsidRPr="00BC1136">
          <w:rPr>
            <w:rStyle w:val="Hyperlink"/>
          </w:rPr>
          <w:t>https://assets.publishing.service.gov.uk/government/uploads/system/uploads/attachment_data/file/1148252/powering-up-britain-energy-security-plan.pdf</w:t>
        </w:r>
      </w:hyperlink>
    </w:p>
    <w:p w14:paraId="17F35C1C" w14:textId="77777777" w:rsidR="00864DB1" w:rsidRDefault="00864DB1" w:rsidP="00864D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D649" w14:textId="334E5E6A" w:rsidR="00C23192" w:rsidRDefault="00C820E1">
    <w:pPr>
      <w:pStyle w:val="Header"/>
    </w:pPr>
    <w:r>
      <w:rPr>
        <w:noProof/>
        <w:lang w:eastAsia="en-GB"/>
      </w:rPr>
      <w:pict w14:anchorId="2ACE1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5376" o:spid="_x0000_s1068" type="#_x0000_t75" style="position:absolute;margin-left:0;margin-top:0;width:595.3pt;height:841.9pt;z-index:-251657216;mso-position-horizontal:center;mso-position-horizontal-relative:margin;mso-position-vertical:center;mso-position-vertical-relative:margin" o:allowincell="f">
          <v:imagedata r:id="rId1" o:title="NSSG Headed Paper no address - seperate log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DCA4" w14:textId="67E0BA0C" w:rsidR="00C23192" w:rsidRDefault="00C820E1">
    <w:pPr>
      <w:pStyle w:val="Header"/>
    </w:pPr>
    <w:r>
      <w:rPr>
        <w:noProof/>
        <w:lang w:eastAsia="en-GB"/>
      </w:rPr>
      <w:pict w14:anchorId="3EE3B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5377" o:spid="_x0000_s1069" type="#_x0000_t75" style="position:absolute;margin-left:-72.1pt;margin-top:-86pt;width:595.3pt;height:854.9pt;z-index:-251656192;mso-position-horizontal-relative:margin;mso-position-vertical-relative:margin" o:allowincell="f">
          <v:imagedata r:id="rId1" o:title="NSSG Headed Paper no address - seperate log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BCBE" w14:textId="13F49B64" w:rsidR="00C23192" w:rsidRDefault="00C820E1">
    <w:pPr>
      <w:pStyle w:val="Header"/>
    </w:pPr>
    <w:r>
      <w:rPr>
        <w:noProof/>
        <w:lang w:eastAsia="en-GB"/>
      </w:rPr>
      <w:pict w14:anchorId="40EB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75375" o:spid="_x0000_s1067" type="#_x0000_t75" style="position:absolute;margin-left:0;margin-top:0;width:595.3pt;height:841.9pt;z-index:-251658240;mso-position-horizontal:center;mso-position-horizontal-relative:margin;mso-position-vertical:center;mso-position-vertical-relative:margin" o:allowincell="f">
          <v:imagedata r:id="rId1" o:title="NSSG Headed Paper no address - seperate log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7D0"/>
    <w:multiLevelType w:val="hybridMultilevel"/>
    <w:tmpl w:val="C54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073F2"/>
    <w:multiLevelType w:val="hybridMultilevel"/>
    <w:tmpl w:val="BB3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B13FB"/>
    <w:multiLevelType w:val="hybridMultilevel"/>
    <w:tmpl w:val="85EE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D6E14"/>
    <w:multiLevelType w:val="hybridMultilevel"/>
    <w:tmpl w:val="E214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666D"/>
    <w:multiLevelType w:val="hybridMultilevel"/>
    <w:tmpl w:val="795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D0083"/>
    <w:multiLevelType w:val="hybridMultilevel"/>
    <w:tmpl w:val="C5A8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7603B"/>
    <w:multiLevelType w:val="hybridMultilevel"/>
    <w:tmpl w:val="1A8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021AC"/>
    <w:multiLevelType w:val="hybridMultilevel"/>
    <w:tmpl w:val="1B92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559BB"/>
    <w:multiLevelType w:val="multilevel"/>
    <w:tmpl w:val="8EE0A2A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63CA7B69"/>
    <w:multiLevelType w:val="hybridMultilevel"/>
    <w:tmpl w:val="5C34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54E80"/>
    <w:multiLevelType w:val="hybridMultilevel"/>
    <w:tmpl w:val="7B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21408"/>
    <w:multiLevelType w:val="hybridMultilevel"/>
    <w:tmpl w:val="3A26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443667">
    <w:abstractNumId w:val="8"/>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 w16cid:durableId="665590295">
    <w:abstractNumId w:val="11"/>
  </w:num>
  <w:num w:numId="3" w16cid:durableId="194536836">
    <w:abstractNumId w:val="5"/>
  </w:num>
  <w:num w:numId="4" w16cid:durableId="1102266567">
    <w:abstractNumId w:val="3"/>
  </w:num>
  <w:num w:numId="5" w16cid:durableId="1487013454">
    <w:abstractNumId w:val="9"/>
  </w:num>
  <w:num w:numId="6" w16cid:durableId="217252275">
    <w:abstractNumId w:val="7"/>
  </w:num>
  <w:num w:numId="7" w16cid:durableId="1579293166">
    <w:abstractNumId w:val="0"/>
  </w:num>
  <w:num w:numId="8" w16cid:durableId="130102944">
    <w:abstractNumId w:val="2"/>
  </w:num>
  <w:num w:numId="9" w16cid:durableId="1337802229">
    <w:abstractNumId w:val="1"/>
  </w:num>
  <w:num w:numId="10" w16cid:durableId="444270369">
    <w:abstractNumId w:val="6"/>
  </w:num>
  <w:num w:numId="11" w16cid:durableId="543522721">
    <w:abstractNumId w:val="4"/>
  </w:num>
  <w:num w:numId="12" w16cid:durableId="52247824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4D"/>
    <w:rsid w:val="00003577"/>
    <w:rsid w:val="00010236"/>
    <w:rsid w:val="000164E1"/>
    <w:rsid w:val="00031C4E"/>
    <w:rsid w:val="00051272"/>
    <w:rsid w:val="00053F71"/>
    <w:rsid w:val="00070F22"/>
    <w:rsid w:val="00081637"/>
    <w:rsid w:val="00084B0B"/>
    <w:rsid w:val="000A6ACB"/>
    <w:rsid w:val="000E171D"/>
    <w:rsid w:val="000E2BC4"/>
    <w:rsid w:val="000F7606"/>
    <w:rsid w:val="0010201E"/>
    <w:rsid w:val="0011511B"/>
    <w:rsid w:val="00123EB5"/>
    <w:rsid w:val="00133BEC"/>
    <w:rsid w:val="00144773"/>
    <w:rsid w:val="001633D0"/>
    <w:rsid w:val="001648F0"/>
    <w:rsid w:val="001800DF"/>
    <w:rsid w:val="001A1E6A"/>
    <w:rsid w:val="001D26D7"/>
    <w:rsid w:val="001D5D1A"/>
    <w:rsid w:val="001F0BE8"/>
    <w:rsid w:val="001F0F8F"/>
    <w:rsid w:val="001F114D"/>
    <w:rsid w:val="001F139F"/>
    <w:rsid w:val="001F6130"/>
    <w:rsid w:val="002037A5"/>
    <w:rsid w:val="00204714"/>
    <w:rsid w:val="00207E79"/>
    <w:rsid w:val="00207EA1"/>
    <w:rsid w:val="00217BB9"/>
    <w:rsid w:val="002401D3"/>
    <w:rsid w:val="00243C63"/>
    <w:rsid w:val="00250507"/>
    <w:rsid w:val="002646D8"/>
    <w:rsid w:val="00265485"/>
    <w:rsid w:val="00266451"/>
    <w:rsid w:val="00266F8D"/>
    <w:rsid w:val="002734C5"/>
    <w:rsid w:val="002755E4"/>
    <w:rsid w:val="002846C6"/>
    <w:rsid w:val="00291BFE"/>
    <w:rsid w:val="00295E43"/>
    <w:rsid w:val="002A1001"/>
    <w:rsid w:val="002A1AEB"/>
    <w:rsid w:val="002A54DB"/>
    <w:rsid w:val="002A5534"/>
    <w:rsid w:val="002A59E1"/>
    <w:rsid w:val="002C5393"/>
    <w:rsid w:val="002C5C37"/>
    <w:rsid w:val="002D7960"/>
    <w:rsid w:val="002E0C87"/>
    <w:rsid w:val="002E18BE"/>
    <w:rsid w:val="002F592F"/>
    <w:rsid w:val="0031313A"/>
    <w:rsid w:val="00323456"/>
    <w:rsid w:val="00334245"/>
    <w:rsid w:val="00336CD1"/>
    <w:rsid w:val="0035213D"/>
    <w:rsid w:val="00363972"/>
    <w:rsid w:val="003657C7"/>
    <w:rsid w:val="003726C1"/>
    <w:rsid w:val="0038561C"/>
    <w:rsid w:val="0039079B"/>
    <w:rsid w:val="003A4B3B"/>
    <w:rsid w:val="003A5829"/>
    <w:rsid w:val="003C2135"/>
    <w:rsid w:val="004032E5"/>
    <w:rsid w:val="004055EB"/>
    <w:rsid w:val="00421BDF"/>
    <w:rsid w:val="00433C6C"/>
    <w:rsid w:val="00436860"/>
    <w:rsid w:val="00440BE5"/>
    <w:rsid w:val="004471E5"/>
    <w:rsid w:val="00447EC9"/>
    <w:rsid w:val="004506D3"/>
    <w:rsid w:val="00457219"/>
    <w:rsid w:val="0047029D"/>
    <w:rsid w:val="00475438"/>
    <w:rsid w:val="00476461"/>
    <w:rsid w:val="0047731D"/>
    <w:rsid w:val="004807B9"/>
    <w:rsid w:val="004829DA"/>
    <w:rsid w:val="00492C52"/>
    <w:rsid w:val="00494FCB"/>
    <w:rsid w:val="004978C2"/>
    <w:rsid w:val="004F270F"/>
    <w:rsid w:val="00542D24"/>
    <w:rsid w:val="00544068"/>
    <w:rsid w:val="00544ED3"/>
    <w:rsid w:val="005705DB"/>
    <w:rsid w:val="00573243"/>
    <w:rsid w:val="00576966"/>
    <w:rsid w:val="00590898"/>
    <w:rsid w:val="005C29D5"/>
    <w:rsid w:val="005D6E7D"/>
    <w:rsid w:val="005F463D"/>
    <w:rsid w:val="005F4704"/>
    <w:rsid w:val="006027FC"/>
    <w:rsid w:val="00602BC1"/>
    <w:rsid w:val="00620F10"/>
    <w:rsid w:val="00622675"/>
    <w:rsid w:val="00625B7A"/>
    <w:rsid w:val="006379FE"/>
    <w:rsid w:val="006440FF"/>
    <w:rsid w:val="006522F0"/>
    <w:rsid w:val="00652AB7"/>
    <w:rsid w:val="00656C31"/>
    <w:rsid w:val="00662291"/>
    <w:rsid w:val="00665715"/>
    <w:rsid w:val="00667583"/>
    <w:rsid w:val="00684D5F"/>
    <w:rsid w:val="006877ED"/>
    <w:rsid w:val="00687A34"/>
    <w:rsid w:val="006A1B1F"/>
    <w:rsid w:val="006A414F"/>
    <w:rsid w:val="006A6E33"/>
    <w:rsid w:val="006A76F5"/>
    <w:rsid w:val="006B2B53"/>
    <w:rsid w:val="006C0F71"/>
    <w:rsid w:val="006C57C6"/>
    <w:rsid w:val="006D7DD3"/>
    <w:rsid w:val="006E7278"/>
    <w:rsid w:val="00705FA0"/>
    <w:rsid w:val="00707019"/>
    <w:rsid w:val="00707CCC"/>
    <w:rsid w:val="007222C1"/>
    <w:rsid w:val="0072306C"/>
    <w:rsid w:val="007241FA"/>
    <w:rsid w:val="00724A0A"/>
    <w:rsid w:val="00742198"/>
    <w:rsid w:val="00744CD9"/>
    <w:rsid w:val="00745316"/>
    <w:rsid w:val="00752533"/>
    <w:rsid w:val="00796929"/>
    <w:rsid w:val="007A4581"/>
    <w:rsid w:val="007C2D9C"/>
    <w:rsid w:val="007C5946"/>
    <w:rsid w:val="007E5917"/>
    <w:rsid w:val="007E6CF5"/>
    <w:rsid w:val="007F4EB8"/>
    <w:rsid w:val="00812ECC"/>
    <w:rsid w:val="0082070A"/>
    <w:rsid w:val="00833168"/>
    <w:rsid w:val="00864DB1"/>
    <w:rsid w:val="00881237"/>
    <w:rsid w:val="008A2CDB"/>
    <w:rsid w:val="008C1453"/>
    <w:rsid w:val="008C5574"/>
    <w:rsid w:val="008D356A"/>
    <w:rsid w:val="008D4551"/>
    <w:rsid w:val="008D504D"/>
    <w:rsid w:val="008F2246"/>
    <w:rsid w:val="008F7C42"/>
    <w:rsid w:val="00922F28"/>
    <w:rsid w:val="00924475"/>
    <w:rsid w:val="00927DC8"/>
    <w:rsid w:val="00942DF5"/>
    <w:rsid w:val="0095049C"/>
    <w:rsid w:val="0095143C"/>
    <w:rsid w:val="0097337D"/>
    <w:rsid w:val="0097400D"/>
    <w:rsid w:val="00985846"/>
    <w:rsid w:val="00986262"/>
    <w:rsid w:val="009947E2"/>
    <w:rsid w:val="009A0459"/>
    <w:rsid w:val="009A14D5"/>
    <w:rsid w:val="009A3985"/>
    <w:rsid w:val="009C624F"/>
    <w:rsid w:val="009C73A1"/>
    <w:rsid w:val="009D3263"/>
    <w:rsid w:val="009D697E"/>
    <w:rsid w:val="009D7629"/>
    <w:rsid w:val="009F0340"/>
    <w:rsid w:val="00A022BE"/>
    <w:rsid w:val="00A0555D"/>
    <w:rsid w:val="00A470BE"/>
    <w:rsid w:val="00A50C66"/>
    <w:rsid w:val="00A63F16"/>
    <w:rsid w:val="00A72F70"/>
    <w:rsid w:val="00A8500E"/>
    <w:rsid w:val="00A9557B"/>
    <w:rsid w:val="00AA616D"/>
    <w:rsid w:val="00AA77E8"/>
    <w:rsid w:val="00AB33ED"/>
    <w:rsid w:val="00AC4EED"/>
    <w:rsid w:val="00AC5A5D"/>
    <w:rsid w:val="00AC6905"/>
    <w:rsid w:val="00AE17A9"/>
    <w:rsid w:val="00AF4F43"/>
    <w:rsid w:val="00B00D77"/>
    <w:rsid w:val="00B1667F"/>
    <w:rsid w:val="00B20D3D"/>
    <w:rsid w:val="00B24D93"/>
    <w:rsid w:val="00B2509C"/>
    <w:rsid w:val="00B268EF"/>
    <w:rsid w:val="00B36593"/>
    <w:rsid w:val="00B45390"/>
    <w:rsid w:val="00B70841"/>
    <w:rsid w:val="00B74CA6"/>
    <w:rsid w:val="00B930A3"/>
    <w:rsid w:val="00BA1AB9"/>
    <w:rsid w:val="00BA39BF"/>
    <w:rsid w:val="00BA5FEF"/>
    <w:rsid w:val="00BB711E"/>
    <w:rsid w:val="00BC0B7A"/>
    <w:rsid w:val="00BD15FD"/>
    <w:rsid w:val="00BE331D"/>
    <w:rsid w:val="00BE6AA9"/>
    <w:rsid w:val="00BF71D8"/>
    <w:rsid w:val="00BF7D9D"/>
    <w:rsid w:val="00C02B8C"/>
    <w:rsid w:val="00C041FC"/>
    <w:rsid w:val="00C11F7C"/>
    <w:rsid w:val="00C23192"/>
    <w:rsid w:val="00C31370"/>
    <w:rsid w:val="00C624E1"/>
    <w:rsid w:val="00C65212"/>
    <w:rsid w:val="00C75078"/>
    <w:rsid w:val="00C820E1"/>
    <w:rsid w:val="00C94B5B"/>
    <w:rsid w:val="00C96350"/>
    <w:rsid w:val="00CA0450"/>
    <w:rsid w:val="00CA7CC6"/>
    <w:rsid w:val="00CC672B"/>
    <w:rsid w:val="00CD14A1"/>
    <w:rsid w:val="00CD4293"/>
    <w:rsid w:val="00CF04F1"/>
    <w:rsid w:val="00CF0CE1"/>
    <w:rsid w:val="00D01D70"/>
    <w:rsid w:val="00D0432B"/>
    <w:rsid w:val="00D06F83"/>
    <w:rsid w:val="00D13FAF"/>
    <w:rsid w:val="00D14A70"/>
    <w:rsid w:val="00D35C12"/>
    <w:rsid w:val="00D41FBE"/>
    <w:rsid w:val="00D4428C"/>
    <w:rsid w:val="00D47993"/>
    <w:rsid w:val="00D62525"/>
    <w:rsid w:val="00D931A8"/>
    <w:rsid w:val="00D9378B"/>
    <w:rsid w:val="00D93F15"/>
    <w:rsid w:val="00DA5960"/>
    <w:rsid w:val="00DA76A8"/>
    <w:rsid w:val="00DB692E"/>
    <w:rsid w:val="00DC5501"/>
    <w:rsid w:val="00DD2767"/>
    <w:rsid w:val="00DF5523"/>
    <w:rsid w:val="00E23025"/>
    <w:rsid w:val="00E32AC8"/>
    <w:rsid w:val="00E354A8"/>
    <w:rsid w:val="00E37DAE"/>
    <w:rsid w:val="00E46955"/>
    <w:rsid w:val="00E508F2"/>
    <w:rsid w:val="00E51EC9"/>
    <w:rsid w:val="00E54D26"/>
    <w:rsid w:val="00E72A44"/>
    <w:rsid w:val="00E838EB"/>
    <w:rsid w:val="00EA534D"/>
    <w:rsid w:val="00EB4152"/>
    <w:rsid w:val="00EB797B"/>
    <w:rsid w:val="00EC0359"/>
    <w:rsid w:val="00EC11F9"/>
    <w:rsid w:val="00EC32DF"/>
    <w:rsid w:val="00ED3C58"/>
    <w:rsid w:val="00ED5104"/>
    <w:rsid w:val="00F17417"/>
    <w:rsid w:val="00F22552"/>
    <w:rsid w:val="00F23F34"/>
    <w:rsid w:val="00F3607C"/>
    <w:rsid w:val="00F525AA"/>
    <w:rsid w:val="00F54AEC"/>
    <w:rsid w:val="00F7011D"/>
    <w:rsid w:val="00F84516"/>
    <w:rsid w:val="00F93651"/>
    <w:rsid w:val="00F95252"/>
    <w:rsid w:val="00FA1405"/>
    <w:rsid w:val="00FB1EE7"/>
    <w:rsid w:val="00FB3862"/>
    <w:rsid w:val="00FB4EE9"/>
    <w:rsid w:val="00FC301E"/>
    <w:rsid w:val="00FC46D7"/>
    <w:rsid w:val="00FE1AB6"/>
    <w:rsid w:val="00FE6443"/>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F0BB4"/>
  <w15:chartTrackingRefBased/>
  <w15:docId w15:val="{B9500117-1272-42DD-A601-ADF287C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864DB1"/>
    <w:pPr>
      <w:keepNext/>
      <w:keepLines/>
      <w:numPr>
        <w:numId w:val="1"/>
      </w:numPr>
      <w:spacing w:before="360" w:after="0" w:line="276" w:lineRule="auto"/>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F525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unhideWhenUsed/>
    <w:qFormat/>
    <w:rsid w:val="00F525AA"/>
    <w:pPr>
      <w:numPr>
        <w:ilvl w:val="2"/>
      </w:numPr>
      <w:spacing w:before="200" w:line="276" w:lineRule="auto"/>
      <w:outlineLvl w:val="2"/>
    </w:pPr>
    <w:rPr>
      <w:rFonts w:ascii="Calibri Light" w:hAnsi="Calibri Light" w:cstheme="majorHAnsi"/>
      <w:b/>
      <w:bCs/>
      <w:color w:val="00A5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B1"/>
    <w:rPr>
      <w:rFonts w:eastAsiaTheme="majorEastAsia" w:cstheme="minorHAnsi"/>
      <w:b/>
      <w:bCs/>
      <w:sz w:val="24"/>
      <w:szCs w:val="24"/>
    </w:rPr>
  </w:style>
  <w:style w:type="character" w:customStyle="1" w:styleId="Heading3Char">
    <w:name w:val="Heading 3 Char"/>
    <w:basedOn w:val="DefaultParagraphFont"/>
    <w:link w:val="Heading3"/>
    <w:uiPriority w:val="9"/>
    <w:rsid w:val="00F525AA"/>
    <w:rPr>
      <w:rFonts w:ascii="Calibri Light" w:eastAsiaTheme="majorEastAsia" w:hAnsi="Calibri Light" w:cstheme="majorHAnsi"/>
      <w:b/>
      <w:bCs/>
      <w:color w:val="00A5A7"/>
    </w:rPr>
  </w:style>
  <w:style w:type="character" w:customStyle="1" w:styleId="Heading2Char">
    <w:name w:val="Heading 2 Char"/>
    <w:basedOn w:val="DefaultParagraphFont"/>
    <w:link w:val="Heading2"/>
    <w:uiPriority w:val="9"/>
    <w:rsid w:val="00F525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92"/>
  </w:style>
  <w:style w:type="paragraph" w:styleId="Footer">
    <w:name w:val="footer"/>
    <w:basedOn w:val="Normal"/>
    <w:link w:val="FooterChar"/>
    <w:uiPriority w:val="99"/>
    <w:unhideWhenUsed/>
    <w:rsid w:val="00C2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92"/>
  </w:style>
  <w:style w:type="paragraph" w:styleId="BalloonText">
    <w:name w:val="Balloon Text"/>
    <w:basedOn w:val="Normal"/>
    <w:link w:val="BalloonTextChar"/>
    <w:uiPriority w:val="99"/>
    <w:semiHidden/>
    <w:unhideWhenUsed/>
    <w:rsid w:val="00C2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92"/>
    <w:rPr>
      <w:rFonts w:ascii="Segoe UI" w:hAnsi="Segoe UI" w:cs="Segoe UI"/>
      <w:sz w:val="18"/>
      <w:szCs w:val="18"/>
    </w:rPr>
  </w:style>
  <w:style w:type="paragraph" w:styleId="ListParagraph">
    <w:name w:val="List Paragraph"/>
    <w:basedOn w:val="Normal"/>
    <w:uiPriority w:val="34"/>
    <w:qFormat/>
    <w:rsid w:val="00F84516"/>
    <w:pPr>
      <w:ind w:left="720"/>
      <w:contextualSpacing/>
    </w:pPr>
  </w:style>
  <w:style w:type="character" w:styleId="CommentReference">
    <w:name w:val="annotation reference"/>
    <w:basedOn w:val="DefaultParagraphFont"/>
    <w:uiPriority w:val="99"/>
    <w:semiHidden/>
    <w:unhideWhenUsed/>
    <w:rsid w:val="002E18BE"/>
    <w:rPr>
      <w:sz w:val="16"/>
      <w:szCs w:val="16"/>
    </w:rPr>
  </w:style>
  <w:style w:type="paragraph" w:styleId="CommentText">
    <w:name w:val="annotation text"/>
    <w:basedOn w:val="Normal"/>
    <w:link w:val="CommentTextChar"/>
    <w:uiPriority w:val="99"/>
    <w:unhideWhenUsed/>
    <w:rsid w:val="002E18BE"/>
    <w:pPr>
      <w:spacing w:line="240" w:lineRule="auto"/>
    </w:pPr>
    <w:rPr>
      <w:sz w:val="20"/>
      <w:szCs w:val="20"/>
    </w:rPr>
  </w:style>
  <w:style w:type="character" w:customStyle="1" w:styleId="CommentTextChar">
    <w:name w:val="Comment Text Char"/>
    <w:basedOn w:val="DefaultParagraphFont"/>
    <w:link w:val="CommentText"/>
    <w:uiPriority w:val="99"/>
    <w:rsid w:val="002E18BE"/>
    <w:rPr>
      <w:sz w:val="20"/>
      <w:szCs w:val="20"/>
    </w:rPr>
  </w:style>
  <w:style w:type="paragraph" w:styleId="CommentSubject">
    <w:name w:val="annotation subject"/>
    <w:basedOn w:val="CommentText"/>
    <w:next w:val="CommentText"/>
    <w:link w:val="CommentSubjectChar"/>
    <w:uiPriority w:val="99"/>
    <w:semiHidden/>
    <w:unhideWhenUsed/>
    <w:rsid w:val="00881237"/>
    <w:rPr>
      <w:b/>
      <w:bCs/>
    </w:rPr>
  </w:style>
  <w:style w:type="character" w:customStyle="1" w:styleId="CommentSubjectChar">
    <w:name w:val="Comment Subject Char"/>
    <w:basedOn w:val="CommentTextChar"/>
    <w:link w:val="CommentSubject"/>
    <w:uiPriority w:val="99"/>
    <w:semiHidden/>
    <w:rsid w:val="00881237"/>
    <w:rPr>
      <w:b/>
      <w:bCs/>
      <w:sz w:val="20"/>
      <w:szCs w:val="20"/>
    </w:rPr>
  </w:style>
  <w:style w:type="table" w:styleId="TableGrid">
    <w:name w:val="Table Grid"/>
    <w:basedOn w:val="TableNormal"/>
    <w:uiPriority w:val="39"/>
    <w:rsid w:val="009D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4F1"/>
    <w:pPr>
      <w:spacing w:after="0" w:line="240" w:lineRule="auto"/>
    </w:pPr>
  </w:style>
  <w:style w:type="paragraph" w:styleId="FootnoteText">
    <w:name w:val="footnote text"/>
    <w:basedOn w:val="Normal"/>
    <w:link w:val="FootnoteTextChar"/>
    <w:uiPriority w:val="99"/>
    <w:semiHidden/>
    <w:unhideWhenUsed/>
    <w:rsid w:val="00144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73"/>
    <w:rPr>
      <w:sz w:val="20"/>
      <w:szCs w:val="20"/>
    </w:rPr>
  </w:style>
  <w:style w:type="character" w:styleId="FootnoteReference">
    <w:name w:val="footnote reference"/>
    <w:basedOn w:val="DefaultParagraphFont"/>
    <w:uiPriority w:val="99"/>
    <w:semiHidden/>
    <w:unhideWhenUsed/>
    <w:rsid w:val="00144773"/>
    <w:rPr>
      <w:vertAlign w:val="superscript"/>
    </w:rPr>
  </w:style>
  <w:style w:type="character" w:styleId="Hyperlink">
    <w:name w:val="Hyperlink"/>
    <w:basedOn w:val="DefaultParagraphFont"/>
    <w:uiPriority w:val="99"/>
    <w:unhideWhenUsed/>
    <w:rsid w:val="00144773"/>
    <w:rPr>
      <w:color w:val="0563C1" w:themeColor="hyperlink"/>
      <w:u w:val="single"/>
    </w:rPr>
  </w:style>
  <w:style w:type="character" w:styleId="UnresolvedMention">
    <w:name w:val="Unresolved Mention"/>
    <w:basedOn w:val="DefaultParagraphFont"/>
    <w:uiPriority w:val="99"/>
    <w:semiHidden/>
    <w:unhideWhenUsed/>
    <w:rsid w:val="0014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148252/powering-up-britain-energy-security-plan.pdf" TargetMode="External"/><Relationship Id="rId2" Type="http://schemas.openxmlformats.org/officeDocument/2006/relationships/hyperlink" Target="https://assets.publishing.service.gov.uk/government/uploads/system/uploads/attachment_data/file/1147457/powering-up-britain-net-zero-growth-plan.pdf" TargetMode="External"/><Relationship Id="rId1" Type="http://schemas.openxmlformats.org/officeDocument/2006/relationships/hyperlink" Target="https://www.gov.uk/government/publications/powering-up-brit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36E223AA3CC4B8711CF094723B886" ma:contentTypeVersion="4" ma:contentTypeDescription="Create a new document." ma:contentTypeScope="" ma:versionID="4819fe21dbcb27e1257016cb62edae2f">
  <xsd:schema xmlns:xsd="http://www.w3.org/2001/XMLSchema" xmlns:xs="http://www.w3.org/2001/XMLSchema" xmlns:p="http://schemas.microsoft.com/office/2006/metadata/properties" xmlns:ns2="6af79720-27db-443b-a1ea-dc4657b2167d" targetNamespace="http://schemas.microsoft.com/office/2006/metadata/properties" ma:root="true" ma:fieldsID="ea75480bdda7c0d6343a8be04c92b7a6" ns2:_="">
    <xsd:import namespace="6af79720-27db-443b-a1ea-dc4657b216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79720-27db-443b-a1ea-dc4657b2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97A71-0AE1-499A-B553-C17E2244B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79720-27db-443b-a1ea-dc4657b21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DF82D-3A37-408B-BB55-3169838E3EBA}">
  <ds:schemaRefs>
    <ds:schemaRef ds:uri="http://schemas.openxmlformats.org/officeDocument/2006/bibliography"/>
  </ds:schemaRefs>
</ds:datastoreItem>
</file>

<file path=customXml/itemProps3.xml><?xml version="1.0" encoding="utf-8"?>
<ds:datastoreItem xmlns:ds="http://schemas.openxmlformats.org/officeDocument/2006/customXml" ds:itemID="{229AE576-85B1-49C5-9F96-F96680066404}">
  <ds:schemaRefs>
    <ds:schemaRef ds:uri="http://schemas.microsoft.com/sharepoint/v3/contenttype/forms"/>
  </ds:schemaRefs>
</ds:datastoreItem>
</file>

<file path=customXml/itemProps4.xml><?xml version="1.0" encoding="utf-8"?>
<ds:datastoreItem xmlns:ds="http://schemas.openxmlformats.org/officeDocument/2006/customXml" ds:itemID="{91EEF75C-0885-4DB9-BC68-B3042ED96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dc:creator>
  <cp:keywords/>
  <dc:description/>
  <cp:lastModifiedBy>Jim Ranger</cp:lastModifiedBy>
  <cp:revision>4</cp:revision>
  <cp:lastPrinted>2023-04-03T11:02:00Z</cp:lastPrinted>
  <dcterms:created xsi:type="dcterms:W3CDTF">2023-04-03T14:51:00Z</dcterms:created>
  <dcterms:modified xsi:type="dcterms:W3CDTF">2023-04-03T14:52:00Z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6701483750c5031b9246608b4064a5040e252f19e713a1e18943ed434b431897</vt:lpwstr>
  </property>
  <property fmtid="{D5CDD505-2E9C-101B-9397-08002B2CF9AE}" pid="3" name="ContentTypeId">
    <vt:lpwstr>0x01010037F36E223AA3CC4B8711CF094723B886</vt:lpwstr>
  </property>
</Properties>
</file>